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7E3DC7B3"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7C469F">
        <w:rPr>
          <w:rFonts w:ascii="Times New Roman" w:eastAsia="Times New Roman" w:hAnsi="Times New Roman" w:cs="Times New Roman"/>
          <w:sz w:val="24"/>
          <w:szCs w:val="24"/>
        </w:rPr>
        <w:t>27</w:t>
      </w:r>
      <w:r w:rsidR="00E86D9E">
        <w:rPr>
          <w:rFonts w:ascii="Times New Roman" w:eastAsia="Times New Roman" w:hAnsi="Times New Roman" w:cs="Times New Roman"/>
          <w:sz w:val="24"/>
          <w:szCs w:val="24"/>
        </w:rPr>
        <w:t xml:space="preserve">. </w:t>
      </w:r>
      <w:r w:rsidR="002B1078">
        <w:rPr>
          <w:rFonts w:ascii="Times New Roman" w:eastAsia="Times New Roman" w:hAnsi="Times New Roman" w:cs="Times New Roman"/>
          <w:sz w:val="24"/>
          <w:szCs w:val="24"/>
        </w:rPr>
        <w:t>novembra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03C05190"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7C469F">
        <w:rPr>
          <w:rFonts w:ascii="Times New Roman" w:eastAsia="Times New Roman" w:hAnsi="Times New Roman" w:cs="Times New Roman"/>
          <w:sz w:val="24"/>
          <w:szCs w:val="24"/>
        </w:rPr>
        <w:t>17</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7C469F">
        <w:rPr>
          <w:rFonts w:ascii="Times New Roman" w:eastAsia="Times New Roman" w:hAnsi="Times New Roman" w:cs="Times New Roman"/>
          <w:sz w:val="24"/>
          <w:szCs w:val="24"/>
        </w:rPr>
        <w:t>77</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47673C04" w:rsidR="00071694" w:rsidRPr="005143A3" w:rsidRDefault="00A030EC" w:rsidP="00071694">
      <w:pPr>
        <w:pStyle w:val="Heading3"/>
        <w:spacing w:before="0" w:after="0"/>
        <w:ind w:right="28"/>
        <w:jc w:val="center"/>
        <w:rPr>
          <w:rFonts w:ascii="Times New Roman" w:hAnsi="Times New Roman"/>
          <w:sz w:val="24"/>
          <w:szCs w:val="24"/>
        </w:rPr>
      </w:pPr>
      <w:r w:rsidRPr="00A030EC">
        <w:rPr>
          <w:rFonts w:ascii="Times New Roman" w:hAnsi="Times New Roman"/>
          <w:sz w:val="24"/>
          <w:szCs w:val="24"/>
        </w:rPr>
        <w:t>Dīķu iel</w:t>
      </w:r>
      <w:r>
        <w:rPr>
          <w:rFonts w:ascii="Times New Roman" w:hAnsi="Times New Roman"/>
          <w:sz w:val="24"/>
          <w:szCs w:val="24"/>
        </w:rPr>
        <w:t>a</w:t>
      </w:r>
      <w:r w:rsidRPr="00A030EC">
        <w:rPr>
          <w:rFonts w:ascii="Times New Roman" w:hAnsi="Times New Roman"/>
          <w:sz w:val="24"/>
          <w:szCs w:val="24"/>
        </w:rPr>
        <w:t xml:space="preserve"> 10, Rudbārž</w:t>
      </w:r>
      <w:r>
        <w:rPr>
          <w:rFonts w:ascii="Times New Roman" w:hAnsi="Times New Roman"/>
          <w:sz w:val="24"/>
          <w:szCs w:val="24"/>
        </w:rPr>
        <w:t>i</w:t>
      </w:r>
      <w:r w:rsidRPr="00A030EC">
        <w:rPr>
          <w:rFonts w:ascii="Times New Roman" w:hAnsi="Times New Roman"/>
          <w:sz w:val="24"/>
          <w:szCs w:val="24"/>
        </w:rPr>
        <w:t xml:space="preserve">, Rudbāržu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3DBD7EEA"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A030EC" w:rsidRPr="00A030EC">
        <w:rPr>
          <w:rFonts w:ascii="Times New Roman" w:hAnsi="Times New Roman" w:cs="Times New Roman"/>
          <w:b/>
          <w:bCs/>
          <w:sz w:val="24"/>
          <w:szCs w:val="24"/>
        </w:rPr>
        <w:t xml:space="preserve">Dīķu iela 10, Rudbārži, Rudbāržu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A030EC" w:rsidRPr="00A030EC">
        <w:rPr>
          <w:rFonts w:ascii="Times New Roman" w:hAnsi="Times New Roman" w:cs="Times New Roman"/>
          <w:sz w:val="24"/>
          <w:szCs w:val="24"/>
        </w:rPr>
        <w:t>62820080473</w:t>
      </w:r>
      <w:r w:rsidR="002555A3" w:rsidRPr="005143A3">
        <w:rPr>
          <w:rFonts w:ascii="Times New Roman" w:hAnsi="Times New Roman" w:cs="Times New Roman"/>
          <w:sz w:val="24"/>
          <w:szCs w:val="24"/>
        </w:rPr>
        <w:t>:</w:t>
      </w:r>
    </w:p>
    <w:p w14:paraId="56D7A467" w14:textId="3886B4CD"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A030EC">
        <w:rPr>
          <w:rFonts w:ascii="Times New Roman" w:hAnsi="Times New Roman" w:cs="Times New Roman"/>
          <w:sz w:val="24"/>
          <w:szCs w:val="24"/>
        </w:rPr>
        <w:t>Rudbāržu</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A030EC" w:rsidRPr="00A030EC">
        <w:rPr>
          <w:rFonts w:ascii="Times New Roman" w:hAnsi="Times New Roman" w:cs="Times New Roman"/>
          <w:sz w:val="24"/>
          <w:szCs w:val="24"/>
        </w:rPr>
        <w:t>100000922896</w:t>
      </w:r>
      <w:r w:rsidRPr="005143A3">
        <w:rPr>
          <w:rFonts w:ascii="Times New Roman" w:hAnsi="Times New Roman" w:cs="Times New Roman"/>
          <w:sz w:val="24"/>
          <w:szCs w:val="24"/>
        </w:rPr>
        <w:t xml:space="preserve">; </w:t>
      </w:r>
    </w:p>
    <w:p w14:paraId="2A8FE785" w14:textId="511B67F7"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A030EC" w:rsidRPr="00A030EC">
        <w:rPr>
          <w:rFonts w:ascii="Times New Roman" w:hAnsi="Times New Roman" w:cs="Times New Roman"/>
          <w:sz w:val="24"/>
          <w:szCs w:val="24"/>
        </w:rPr>
        <w:t>62820080456</w:t>
      </w:r>
      <w:r w:rsidR="00353311" w:rsidRPr="00353311">
        <w:rPr>
          <w:rFonts w:ascii="Times New Roman" w:hAnsi="Times New Roman" w:cs="Times New Roman"/>
          <w:sz w:val="24"/>
          <w:szCs w:val="24"/>
        </w:rPr>
        <w:t xml:space="preserve">, platība </w:t>
      </w:r>
      <w:r w:rsidR="002B1078">
        <w:rPr>
          <w:rFonts w:ascii="Times New Roman" w:hAnsi="Times New Roman" w:cs="Times New Roman"/>
          <w:sz w:val="24"/>
          <w:szCs w:val="24"/>
        </w:rPr>
        <w:t>0</w:t>
      </w:r>
      <w:r w:rsidR="00A030EC">
        <w:rPr>
          <w:rFonts w:ascii="Times New Roman" w:hAnsi="Times New Roman" w:cs="Times New Roman"/>
          <w:sz w:val="24"/>
          <w:szCs w:val="24"/>
        </w:rPr>
        <w:t>,4396</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7EB72210" w:rsidR="002E1EB2" w:rsidRPr="002E1EB2" w:rsidRDefault="00E21DF1"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t xml:space="preserve">Atbilstoši </w:t>
      </w:r>
      <w:r w:rsidR="00A030EC">
        <w:rPr>
          <w:rFonts w:ascii="Times New Roman" w:hAnsi="Times New Roman" w:cs="Times New Roman"/>
          <w:sz w:val="24"/>
          <w:szCs w:val="24"/>
        </w:rPr>
        <w:t>Skrundas</w:t>
      </w:r>
      <w:r w:rsidRPr="00E21DF1">
        <w:rPr>
          <w:rFonts w:ascii="Times New Roman" w:hAnsi="Times New Roman" w:cs="Times New Roman"/>
          <w:sz w:val="24"/>
          <w:szCs w:val="24"/>
        </w:rPr>
        <w:t xml:space="preserve"> novada teritorijas plānojumam zemes vienība ar kadastra apzīmējumu </w:t>
      </w:r>
      <w:r w:rsidR="00A030EC" w:rsidRPr="00A030EC">
        <w:rPr>
          <w:rFonts w:ascii="Times New Roman" w:hAnsi="Times New Roman" w:cs="Times New Roman"/>
          <w:sz w:val="24"/>
          <w:szCs w:val="24"/>
        </w:rPr>
        <w:t>62820080456</w:t>
      </w:r>
      <w:r w:rsidRPr="00E21DF1">
        <w:rPr>
          <w:rFonts w:ascii="Times New Roman" w:hAnsi="Times New Roman" w:cs="Times New Roman"/>
          <w:sz w:val="24"/>
          <w:szCs w:val="24"/>
        </w:rPr>
        <w:t xml:space="preserve"> atrodas </w:t>
      </w:r>
      <w:r w:rsidR="00A030EC" w:rsidRPr="00A030EC">
        <w:rPr>
          <w:rFonts w:ascii="Times New Roman" w:hAnsi="Times New Roman" w:cs="Times New Roman"/>
          <w:sz w:val="24"/>
          <w:szCs w:val="24"/>
        </w:rPr>
        <w:t>Rūpnieciskās apbūves teritorijā</w:t>
      </w:r>
      <w:r w:rsidR="00353311">
        <w:rPr>
          <w:rFonts w:ascii="Times New Roman" w:hAnsi="Times New Roman" w:cs="Times New Roman"/>
          <w:sz w:val="24"/>
          <w:szCs w:val="24"/>
        </w:rPr>
        <w:t>.</w:t>
      </w:r>
    </w:p>
    <w:p w14:paraId="6834EC06" w14:textId="29C5FCB2"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A030EC" w:rsidRPr="00A030EC">
        <w:rPr>
          <w:rFonts w:ascii="Times New Roman" w:hAnsi="Times New Roman" w:cs="Times New Roman"/>
          <w:sz w:val="24"/>
          <w:szCs w:val="24"/>
        </w:rPr>
        <w:t>62820080456</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A030EC">
        <w:rPr>
          <w:rFonts w:ascii="Times New Roman" w:hAnsi="Times New Roman" w:cs="Times New Roman"/>
          <w:sz w:val="24"/>
          <w:szCs w:val="24"/>
        </w:rPr>
        <w:t>1003</w:t>
      </w:r>
      <w:r w:rsidR="002B1078" w:rsidRPr="002B1078">
        <w:rPr>
          <w:rFonts w:ascii="Times New Roman" w:hAnsi="Times New Roman" w:cs="Times New Roman"/>
          <w:sz w:val="24"/>
          <w:szCs w:val="24"/>
        </w:rPr>
        <w:t xml:space="preserve"> – </w:t>
      </w:r>
      <w:r w:rsidR="00A030EC" w:rsidRPr="00A030EC">
        <w:rPr>
          <w:rFonts w:ascii="Times New Roman" w:hAnsi="Times New Roman" w:cs="Times New Roman"/>
          <w:sz w:val="24"/>
          <w:szCs w:val="24"/>
        </w:rPr>
        <w:t>Lauksaimnieciska rakstura uzņēmumu apbūve</w:t>
      </w:r>
      <w:r w:rsidR="00374808" w:rsidRPr="005143A3">
        <w:rPr>
          <w:rFonts w:ascii="Times New Roman" w:hAnsi="Times New Roman" w:cs="Times New Roman"/>
          <w:sz w:val="24"/>
          <w:szCs w:val="24"/>
        </w:rPr>
        <w:t>.</w:t>
      </w:r>
    </w:p>
    <w:p w14:paraId="514F8FF3" w14:textId="7DBDB86B"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A030EC" w:rsidRPr="00A030EC">
        <w:rPr>
          <w:rFonts w:ascii="Times New Roman" w:hAnsi="Times New Roman" w:cs="Times New Roman"/>
          <w:sz w:val="24"/>
          <w:szCs w:val="24"/>
        </w:rPr>
        <w:t>62820080456</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2B1078" w:rsidRPr="002B1078">
        <w:rPr>
          <w:rFonts w:ascii="Times New Roman" w:hAnsi="Times New Roman" w:cs="Times New Roman"/>
          <w:sz w:val="24"/>
          <w:szCs w:val="24"/>
        </w:rPr>
        <w:t>zeme zem ūdens 0,0</w:t>
      </w:r>
      <w:r w:rsidR="00A030EC">
        <w:rPr>
          <w:rFonts w:ascii="Times New Roman" w:hAnsi="Times New Roman" w:cs="Times New Roman"/>
          <w:sz w:val="24"/>
          <w:szCs w:val="24"/>
        </w:rPr>
        <w:t>140</w:t>
      </w:r>
      <w:r w:rsidR="002B1078" w:rsidRPr="002B1078">
        <w:rPr>
          <w:rFonts w:ascii="Times New Roman" w:hAnsi="Times New Roman" w:cs="Times New Roman"/>
          <w:sz w:val="24"/>
          <w:szCs w:val="24"/>
        </w:rPr>
        <w:t xml:space="preserve"> ha</w:t>
      </w:r>
      <w:r w:rsidR="00A030EC">
        <w:rPr>
          <w:rFonts w:ascii="Times New Roman" w:hAnsi="Times New Roman" w:cs="Times New Roman"/>
          <w:sz w:val="24"/>
          <w:szCs w:val="24"/>
        </w:rPr>
        <w:t xml:space="preserve"> un pārējās zemes 0,4256 ha</w:t>
      </w:r>
      <w:r w:rsidR="007820D5" w:rsidRPr="007820D5">
        <w:rPr>
          <w:rFonts w:ascii="Times New Roman" w:hAnsi="Times New Roman" w:cs="Times New Roman"/>
          <w:sz w:val="24"/>
          <w:szCs w:val="24"/>
        </w:rPr>
        <w:t xml:space="preserve">. Dominējošais zemes lietošanas veids - </w:t>
      </w:r>
      <w:r w:rsidR="00A030EC" w:rsidRPr="00A030EC">
        <w:rPr>
          <w:rFonts w:ascii="Times New Roman" w:hAnsi="Times New Roman" w:cs="Times New Roman"/>
          <w:sz w:val="24"/>
          <w:szCs w:val="24"/>
        </w:rPr>
        <w:t>pārējās zemes</w:t>
      </w:r>
      <w:r w:rsidR="00A030EC">
        <w:rPr>
          <w:rFonts w:ascii="Times New Roman" w:hAnsi="Times New Roman" w:cs="Times New Roman"/>
          <w:sz w:val="24"/>
          <w:szCs w:val="24"/>
        </w:rPr>
        <w:t>.</w:t>
      </w:r>
    </w:p>
    <w:p w14:paraId="6F338D8D" w14:textId="741C5738" w:rsidR="00E21DF1" w:rsidRDefault="00E21DF1"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B1078">
        <w:rPr>
          <w:rFonts w:ascii="Times New Roman" w:hAnsi="Times New Roman" w:cs="Times New Roman"/>
          <w:sz w:val="24"/>
          <w:szCs w:val="24"/>
        </w:rPr>
        <w:t>Saskaņā ar Nekustamā īpašuma valsts kadastra informācijas sistēmas datiem apgrūtinājumi</w:t>
      </w:r>
      <w:r w:rsidR="002B1078" w:rsidRPr="002B1078">
        <w:rPr>
          <w:rFonts w:ascii="Times New Roman" w:hAnsi="Times New Roman" w:cs="Times New Roman"/>
          <w:sz w:val="24"/>
          <w:szCs w:val="24"/>
        </w:rPr>
        <w:t xml:space="preserve"> reģistrēti</w:t>
      </w:r>
      <w:r w:rsidR="00A030EC">
        <w:rPr>
          <w:rFonts w:ascii="Times New Roman" w:hAnsi="Times New Roman" w:cs="Times New Roman"/>
          <w:sz w:val="24"/>
          <w:szCs w:val="24"/>
        </w:rPr>
        <w:t>:</w:t>
      </w:r>
    </w:p>
    <w:p w14:paraId="1BE1AAB6" w14:textId="74BEF43A" w:rsidR="00A030EC" w:rsidRPr="00A030EC" w:rsidRDefault="00A030EC" w:rsidP="00A030EC">
      <w:pPr>
        <w:pStyle w:val="ListParagraph"/>
        <w:numPr>
          <w:ilvl w:val="0"/>
          <w:numId w:val="20"/>
        </w:numPr>
        <w:spacing w:after="0" w:line="240" w:lineRule="auto"/>
        <w:ind w:right="-1"/>
        <w:jc w:val="both"/>
        <w:rPr>
          <w:rFonts w:ascii="Times New Roman" w:hAnsi="Times New Roman" w:cs="Times New Roman"/>
          <w:sz w:val="24"/>
          <w:szCs w:val="24"/>
        </w:rPr>
      </w:pPr>
      <w:r w:rsidRPr="00A030EC">
        <w:rPr>
          <w:rFonts w:ascii="Times New Roman" w:hAnsi="Times New Roman" w:cs="Times New Roman"/>
          <w:sz w:val="24"/>
          <w:szCs w:val="24"/>
        </w:rPr>
        <w:t>ekspluatācijas aizsargjoslas teritorija gar elektrisko tīklu kabeļu līniju</w:t>
      </w:r>
      <w:r>
        <w:rPr>
          <w:rFonts w:ascii="Times New Roman" w:hAnsi="Times New Roman" w:cs="Times New Roman"/>
          <w:sz w:val="24"/>
          <w:szCs w:val="24"/>
        </w:rPr>
        <w:t xml:space="preserve"> – 0,0161 ha.</w:t>
      </w:r>
    </w:p>
    <w:p w14:paraId="74523B16" w14:textId="78248CEE"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A030EC">
        <w:rPr>
          <w:rFonts w:ascii="Times New Roman" w:hAnsi="Times New Roman" w:cs="Times New Roman"/>
          <w:sz w:val="24"/>
          <w:szCs w:val="24"/>
        </w:rPr>
        <w:t>2110</w:t>
      </w:r>
      <w:r w:rsidR="00B701A5">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A030EC">
        <w:rPr>
          <w:rFonts w:ascii="Times New Roman" w:hAnsi="Times New Roman" w:cs="Times New Roman"/>
          <w:sz w:val="24"/>
          <w:szCs w:val="24"/>
        </w:rPr>
        <w:t>01.01</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7535C82C"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A030EC">
        <w:rPr>
          <w:rFonts w:ascii="Times New Roman" w:eastAsia="Times New Roman" w:hAnsi="Times New Roman" w:cs="Times New Roman"/>
          <w:sz w:val="24"/>
          <w:szCs w:val="24"/>
          <w:lang w:eastAsia="lv-LV"/>
        </w:rPr>
        <w:t>Rudbāržu</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A030EC">
        <w:rPr>
          <w:rFonts w:ascii="Times New Roman" w:eastAsia="Times New Roman" w:hAnsi="Times New Roman" w:cs="Times New Roman"/>
          <w:sz w:val="24"/>
          <w:szCs w:val="24"/>
          <w:lang w:eastAsia="lv-LV"/>
        </w:rPr>
        <w:t>Ilonu Rītiņu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A030EC">
        <w:rPr>
          <w:rFonts w:ascii="Times New Roman" w:eastAsia="Times New Roman" w:hAnsi="Times New Roman" w:cs="Times New Roman"/>
          <w:sz w:val="24"/>
          <w:szCs w:val="24"/>
          <w:lang w:eastAsia="lv-LV"/>
        </w:rPr>
        <w:t>26665663</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7" w:history="1">
        <w:r w:rsidRPr="005143A3">
          <w:rPr>
            <w:rStyle w:val="Hyperlink"/>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4499593D"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A030EC" w:rsidRPr="00A030EC">
        <w:rPr>
          <w:rFonts w:ascii="Times New Roman" w:hAnsi="Times New Roman" w:cs="Times New Roman"/>
          <w:sz w:val="24"/>
          <w:szCs w:val="24"/>
        </w:rPr>
        <w:t xml:space="preserve">2500,00 EUR (divi tūkstoši pieci simti </w:t>
      </w:r>
      <w:proofErr w:type="spellStart"/>
      <w:r w:rsidR="00A030EC" w:rsidRPr="00A030EC">
        <w:rPr>
          <w:rFonts w:ascii="Times New Roman" w:hAnsi="Times New Roman" w:cs="Times New Roman"/>
          <w:sz w:val="24"/>
          <w:szCs w:val="24"/>
        </w:rPr>
        <w:t>euro</w:t>
      </w:r>
      <w:proofErr w:type="spellEnd"/>
      <w:r w:rsidR="00A030EC" w:rsidRPr="00A030EC">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3E34FFFA"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A030EC">
        <w:rPr>
          <w:rFonts w:ascii="Times New Roman" w:eastAsia="Times New Roman" w:hAnsi="Times New Roman" w:cs="Times New Roman"/>
          <w:sz w:val="24"/>
          <w:szCs w:val="24"/>
          <w:lang w:eastAsia="lv-LV"/>
        </w:rPr>
        <w:t>25</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3C3D5CFA"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BF5EA9">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BF5EA9">
        <w:rPr>
          <w:rStyle w:val="Strong"/>
          <w:rFonts w:ascii="Times New Roman" w:hAnsi="Times New Roman" w:cs="Times New Roman"/>
          <w:sz w:val="24"/>
          <w:szCs w:val="24"/>
          <w:lang w:bidi="he-IL"/>
        </w:rPr>
        <w:t>6. janvārim</w:t>
      </w:r>
      <w:r w:rsidR="00763975" w:rsidRPr="00A10719">
        <w:rPr>
          <w:rStyle w:val="Strong"/>
          <w:rFonts w:ascii="Times New Roman" w:hAnsi="Times New Roman" w:cs="Times New Roman"/>
          <w:sz w:val="24"/>
          <w:szCs w:val="24"/>
          <w:lang w:bidi="he-IL"/>
        </w:rPr>
        <w:t xml:space="preserve"> plkst.23:59</w:t>
      </w:r>
      <w:r w:rsidR="00914204" w:rsidRPr="00A10719">
        <w:rPr>
          <w:rStyle w:val="Strong"/>
          <w:rFonts w:ascii="Times New Roman" w:hAnsi="Times New Roman" w:cs="Times New Roman"/>
          <w:sz w:val="24"/>
          <w:szCs w:val="24"/>
          <w:lang w:bidi="he-IL"/>
        </w:rPr>
        <w:t>,</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A030EC" w:rsidRPr="00A030EC">
        <w:rPr>
          <w:rFonts w:ascii="Times New Roman" w:eastAsia="Times New Roman" w:hAnsi="Times New Roman" w:cs="Times New Roman"/>
          <w:i/>
          <w:sz w:val="24"/>
          <w:szCs w:val="24"/>
          <w:lang w:eastAsia="lv-LV"/>
        </w:rPr>
        <w:t xml:space="preserve">Dīķu iela 10, Rudbārži, Rudbāržu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A030EC">
        <w:rPr>
          <w:rFonts w:ascii="Times New Roman" w:eastAsia="Times New Roman" w:hAnsi="Times New Roman" w:cs="Times New Roman"/>
          <w:sz w:val="24"/>
          <w:szCs w:val="24"/>
          <w:lang w:eastAsia="lv-LV"/>
        </w:rPr>
        <w:t>25</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lastRenderedPageBreak/>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06489F4F"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BF5EA9">
        <w:rPr>
          <w:rFonts w:ascii="Times New Roman" w:hAnsi="Times New Roman" w:cs="Times New Roman"/>
          <w:sz w:val="24"/>
          <w:szCs w:val="24"/>
        </w:rPr>
        <w:t>6. janvāra</w:t>
      </w:r>
      <w:r w:rsidRPr="00C63667">
        <w:rPr>
          <w:rFonts w:ascii="Times New Roman" w:hAnsi="Times New Roman" w:cs="Times New Roman"/>
          <w:sz w:val="24"/>
          <w:szCs w:val="24"/>
        </w:rPr>
        <w:t xml:space="preserve"> plkst. 23:59. </w:t>
      </w:r>
    </w:p>
    <w:p w14:paraId="055234D4" w14:textId="65AD41F1"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A030EC">
        <w:rPr>
          <w:rFonts w:ascii="Times New Roman" w:eastAsia="Times New Roman" w:hAnsi="Times New Roman" w:cs="Times New Roman"/>
          <w:sz w:val="24"/>
          <w:szCs w:val="24"/>
          <w:lang w:eastAsia="lv-LV"/>
        </w:rPr>
        <w:t>25</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6204C04A"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353311" w:rsidRPr="00743D58">
        <w:rPr>
          <w:rFonts w:ascii="Times New Roman" w:hAnsi="Times New Roman" w:cs="Times New Roman"/>
          <w:sz w:val="24"/>
          <w:szCs w:val="24"/>
        </w:rPr>
        <w:t>5</w:t>
      </w:r>
      <w:r w:rsidRPr="00743D58">
        <w:rPr>
          <w:rFonts w:ascii="Times New Roman" w:hAnsi="Times New Roman" w:cs="Times New Roman"/>
          <w:sz w:val="24"/>
          <w:szCs w:val="24"/>
        </w:rPr>
        <w:t xml:space="preserve">. gada </w:t>
      </w:r>
      <w:r w:rsidR="00BF5EA9">
        <w:rPr>
          <w:rFonts w:ascii="Times New Roman" w:hAnsi="Times New Roman" w:cs="Times New Roman"/>
          <w:sz w:val="24"/>
          <w:szCs w:val="24"/>
        </w:rPr>
        <w:t>17.</w:t>
      </w:r>
      <w:r w:rsidR="005768A7">
        <w:rPr>
          <w:rFonts w:ascii="Times New Roman" w:hAnsi="Times New Roman" w:cs="Times New Roman"/>
          <w:sz w:val="24"/>
          <w:szCs w:val="24"/>
        </w:rPr>
        <w:t xml:space="preserve"> </w:t>
      </w:r>
      <w:r w:rsidR="00BF5EA9">
        <w:rPr>
          <w:rFonts w:ascii="Times New Roman" w:hAnsi="Times New Roman" w:cs="Times New Roman"/>
          <w:sz w:val="24"/>
          <w:szCs w:val="24"/>
        </w:rPr>
        <w:t>decembra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BF5EA9">
        <w:rPr>
          <w:rFonts w:ascii="Times New Roman" w:hAnsi="Times New Roman" w:cs="Times New Roman"/>
          <w:sz w:val="24"/>
          <w:szCs w:val="24"/>
        </w:rPr>
        <w:t>6. janvārī</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3260FEF"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Izsole sākas elektronisko izsoļu vietnē </w:t>
      </w:r>
      <w:hyperlink r:id="rId11"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353311" w:rsidRPr="00743D58">
        <w:rPr>
          <w:rFonts w:ascii="Times New Roman" w:hAnsi="Times New Roman" w:cs="Times New Roman"/>
          <w:sz w:val="24"/>
          <w:szCs w:val="24"/>
        </w:rPr>
        <w:t>5</w:t>
      </w:r>
      <w:r w:rsidR="00CB51D5" w:rsidRPr="00743D58">
        <w:rPr>
          <w:rFonts w:ascii="Times New Roman" w:hAnsi="Times New Roman" w:cs="Times New Roman"/>
          <w:sz w:val="24"/>
          <w:szCs w:val="24"/>
        </w:rPr>
        <w:t xml:space="preserve">. gada </w:t>
      </w:r>
      <w:r w:rsidR="00BF5EA9">
        <w:rPr>
          <w:rFonts w:ascii="Times New Roman" w:hAnsi="Times New Roman" w:cs="Times New Roman"/>
          <w:sz w:val="24"/>
          <w:szCs w:val="24"/>
        </w:rPr>
        <w:t>17. decembrī</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BF5EA9">
        <w:rPr>
          <w:rFonts w:ascii="Times New Roman" w:hAnsi="Times New Roman" w:cs="Times New Roman"/>
          <w:sz w:val="24"/>
          <w:szCs w:val="24"/>
        </w:rPr>
        <w:t>16. janvārī</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ListParagraph"/>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ListParagraph"/>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13629E64"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A030EC" w:rsidRPr="00A030EC">
        <w:rPr>
          <w:rFonts w:ascii="Times New Roman" w:hAnsi="Times New Roman" w:cs="Times New Roman"/>
          <w:sz w:val="24"/>
          <w:szCs w:val="24"/>
        </w:rPr>
        <w:t>Dīķu iel</w:t>
      </w:r>
      <w:r w:rsidR="00A030EC">
        <w:rPr>
          <w:rFonts w:ascii="Times New Roman" w:hAnsi="Times New Roman" w:cs="Times New Roman"/>
          <w:sz w:val="24"/>
          <w:szCs w:val="24"/>
        </w:rPr>
        <w:t>a</w:t>
      </w:r>
      <w:r w:rsidR="00A030EC" w:rsidRPr="00A030EC">
        <w:rPr>
          <w:rFonts w:ascii="Times New Roman" w:hAnsi="Times New Roman" w:cs="Times New Roman"/>
          <w:sz w:val="24"/>
          <w:szCs w:val="24"/>
        </w:rPr>
        <w:t xml:space="preserve"> 10, Rudbārž</w:t>
      </w:r>
      <w:r w:rsidR="00A030EC">
        <w:rPr>
          <w:rFonts w:ascii="Times New Roman" w:hAnsi="Times New Roman" w:cs="Times New Roman"/>
          <w:sz w:val="24"/>
          <w:szCs w:val="24"/>
        </w:rPr>
        <w:t>i</w:t>
      </w:r>
      <w:r w:rsidR="00A030EC" w:rsidRPr="00A030EC">
        <w:rPr>
          <w:rFonts w:ascii="Times New Roman" w:hAnsi="Times New Roman" w:cs="Times New Roman"/>
          <w:sz w:val="24"/>
          <w:szCs w:val="24"/>
        </w:rPr>
        <w:t xml:space="preserve">, Rudbāržu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A030EC">
        <w:rPr>
          <w:rFonts w:ascii="Times New Roman" w:hAnsi="Times New Roman" w:cs="Times New Roman"/>
          <w:sz w:val="24"/>
          <w:szCs w:val="24"/>
        </w:rPr>
        <w:t>Skrundas</w:t>
      </w:r>
      <w:r w:rsidR="002B1078">
        <w:rPr>
          <w:rFonts w:ascii="Times New Roman" w:hAnsi="Times New Roman" w:cs="Times New Roman"/>
          <w:sz w:val="24"/>
          <w:szCs w:val="24"/>
        </w:rPr>
        <w:t xml:space="preserve">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810ABD5" w14:textId="35DBAE42" w:rsidR="0040359D" w:rsidRDefault="0040359D"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40359D">
        <w:rPr>
          <w:rFonts w:ascii="Times New Roman" w:hAnsi="Times New Roman" w:cs="Times New Roman"/>
          <w:sz w:val="24"/>
          <w:szCs w:val="24"/>
        </w:rPr>
        <w:t xml:space="preserve">Objektam nav </w:t>
      </w:r>
      <w:r w:rsidR="00A030EC">
        <w:rPr>
          <w:rFonts w:ascii="Times New Roman" w:hAnsi="Times New Roman" w:cs="Times New Roman"/>
          <w:sz w:val="24"/>
          <w:szCs w:val="24"/>
        </w:rPr>
        <w:t>nodrošināta piekļuve no valsts vai pašvaldības autoceļa, ceļa servitūts dibināms Civillikumā noteiktajā kārtībā</w:t>
      </w:r>
      <w:r>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lastRenderedPageBreak/>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0F18A7CC" w14:textId="77777777" w:rsidR="002B7B73" w:rsidRPr="002B7B73" w:rsidRDefault="002B7B73" w:rsidP="002B7B73">
      <w:pPr>
        <w:spacing w:after="0" w:line="240" w:lineRule="auto"/>
        <w:rPr>
          <w:rFonts w:ascii="Times New Roman" w:eastAsia="Times New Roman" w:hAnsi="Times New Roman" w:cs="Times New Roman"/>
          <w:sz w:val="24"/>
          <w:szCs w:val="24"/>
          <w:lang w:eastAsia="lv-LV"/>
        </w:rPr>
      </w:pPr>
      <w:r w:rsidRPr="002B7B73">
        <w:rPr>
          <w:rFonts w:ascii="Times New Roman" w:eastAsia="Times New Roman" w:hAnsi="Times New Roman" w:cs="Times New Roman"/>
          <w:sz w:val="24"/>
          <w:szCs w:val="24"/>
          <w:lang w:eastAsia="lv-LV"/>
        </w:rPr>
        <w:t>Izsoļu komisijas priekšsēdētāja</w:t>
      </w:r>
      <w:r w:rsidRPr="002B7B73">
        <w:rPr>
          <w:rFonts w:ascii="Times New Roman" w:eastAsia="Times New Roman" w:hAnsi="Times New Roman" w:cs="Times New Roman"/>
          <w:sz w:val="24"/>
          <w:szCs w:val="24"/>
          <w:lang w:eastAsia="lv-LV"/>
        </w:rPr>
        <w:tab/>
        <w:t xml:space="preserve">             (paraksts)*</w:t>
      </w:r>
      <w:r w:rsidRPr="002B7B73">
        <w:rPr>
          <w:rFonts w:ascii="Times New Roman" w:eastAsia="Times New Roman" w:hAnsi="Times New Roman" w:cs="Times New Roman"/>
          <w:sz w:val="24"/>
          <w:szCs w:val="24"/>
          <w:lang w:eastAsia="lv-LV"/>
        </w:rPr>
        <w:tab/>
      </w:r>
      <w:r w:rsidRPr="002B7B73">
        <w:rPr>
          <w:rFonts w:ascii="Times New Roman" w:eastAsia="Times New Roman" w:hAnsi="Times New Roman" w:cs="Times New Roman"/>
          <w:sz w:val="24"/>
          <w:szCs w:val="24"/>
          <w:lang w:eastAsia="lv-LV"/>
        </w:rPr>
        <w:tab/>
      </w:r>
      <w:r w:rsidRPr="002B7B73">
        <w:rPr>
          <w:rFonts w:ascii="Times New Roman" w:eastAsia="Times New Roman" w:hAnsi="Times New Roman" w:cs="Times New Roman"/>
          <w:sz w:val="24"/>
          <w:szCs w:val="24"/>
          <w:lang w:eastAsia="lv-LV"/>
        </w:rPr>
        <w:tab/>
        <w:t>Iveta Zvirbule</w:t>
      </w:r>
    </w:p>
    <w:p w14:paraId="3FE9FB60" w14:textId="77777777" w:rsidR="002B7B73" w:rsidRPr="002B7B73" w:rsidRDefault="002B7B73" w:rsidP="002B7B73">
      <w:pPr>
        <w:spacing w:after="0" w:line="240" w:lineRule="auto"/>
        <w:rPr>
          <w:rFonts w:ascii="Times New Roman" w:eastAsia="Times New Roman" w:hAnsi="Times New Roman" w:cs="Times New Roman"/>
          <w:sz w:val="24"/>
          <w:szCs w:val="24"/>
          <w:lang w:eastAsia="lv-LV"/>
        </w:rPr>
      </w:pPr>
    </w:p>
    <w:p w14:paraId="0E5D698B" w14:textId="77777777" w:rsidR="002B7B73" w:rsidRPr="002B7B73" w:rsidRDefault="002B7B73" w:rsidP="002B7B73">
      <w:pPr>
        <w:spacing w:after="0" w:line="240" w:lineRule="auto"/>
        <w:jc w:val="center"/>
        <w:rPr>
          <w:rFonts w:ascii="Times New Roman" w:eastAsia="Times New Roman" w:hAnsi="Times New Roman" w:cs="Times New Roman"/>
          <w:sz w:val="20"/>
          <w:szCs w:val="20"/>
        </w:rPr>
      </w:pPr>
      <w:r w:rsidRPr="002B7B73">
        <w:rPr>
          <w:rFonts w:ascii="Times New Roman" w:eastAsia="Times New Roman" w:hAnsi="Times New Roman" w:cs="Times New Roman"/>
          <w:i/>
          <w:sz w:val="20"/>
          <w:szCs w:val="20"/>
        </w:rPr>
        <w:t>*</w:t>
      </w:r>
      <w:r w:rsidRPr="002B7B73">
        <w:rPr>
          <w:rFonts w:ascii="Times New Roman" w:eastAsia="Times New Roman" w:hAnsi="Times New Roman" w:cs="Times New Roman"/>
          <w:sz w:val="20"/>
          <w:szCs w:val="20"/>
        </w:rPr>
        <w:t xml:space="preserve"> ŠIS DOKUMENTS IR PARAKSTĪTS AR DROŠU ELEKTRONISKO PARAKSTU</w:t>
      </w:r>
    </w:p>
    <w:p w14:paraId="30A6C0E7" w14:textId="77777777" w:rsidR="002B7B73" w:rsidRPr="002B7B73" w:rsidRDefault="002B7B73" w:rsidP="002B7B73">
      <w:pPr>
        <w:spacing w:after="0" w:line="240" w:lineRule="auto"/>
        <w:jc w:val="center"/>
        <w:rPr>
          <w:rFonts w:ascii="Times New Roman" w:eastAsia="Times New Roman" w:hAnsi="Times New Roman" w:cs="Times New Roman"/>
          <w:b/>
          <w:kern w:val="32"/>
          <w:sz w:val="24"/>
          <w:szCs w:val="24"/>
          <w:lang w:eastAsia="lv-LV"/>
        </w:rPr>
      </w:pPr>
      <w:r w:rsidRPr="002B7B73">
        <w:rPr>
          <w:rFonts w:ascii="Times New Roman" w:eastAsia="Times New Roman" w:hAnsi="Times New Roman" w:cs="Times New Roman"/>
          <w:sz w:val="20"/>
          <w:szCs w:val="20"/>
        </w:rPr>
        <w:t>UN SATUR LAIKA ZĪMOGU</w:t>
      </w:r>
    </w:p>
    <w:p w14:paraId="08433BBB" w14:textId="77777777" w:rsidR="002B7B73" w:rsidRPr="002B7B73" w:rsidRDefault="002B7B73" w:rsidP="002B7B73">
      <w:pPr>
        <w:spacing w:after="0" w:line="240" w:lineRule="auto"/>
        <w:rPr>
          <w:rFonts w:ascii="Times New Roman" w:eastAsia="Times New Roman" w:hAnsi="Times New Roman" w:cs="Times New Roman"/>
          <w:b/>
          <w:kern w:val="32"/>
          <w:sz w:val="24"/>
          <w:szCs w:val="24"/>
          <w:lang w:eastAsia="lv-LV"/>
        </w:rPr>
      </w:pPr>
    </w:p>
    <w:p w14:paraId="1657384C" w14:textId="77777777" w:rsidR="002B7B73" w:rsidRPr="002B7B73" w:rsidRDefault="002B7B73" w:rsidP="002B7B73">
      <w:pPr>
        <w:spacing w:after="0" w:line="240" w:lineRule="auto"/>
        <w:ind w:right="-1"/>
        <w:rPr>
          <w:rFonts w:ascii="Times New Roman" w:eastAsia="Times New Roman" w:hAnsi="Times New Roman" w:cs="Times New Roman"/>
          <w:sz w:val="24"/>
          <w:szCs w:val="24"/>
          <w:lang w:eastAsia="lv-LV"/>
        </w:rPr>
      </w:pPr>
    </w:p>
    <w:p w14:paraId="5152F1A8" w14:textId="1FFEDAB2" w:rsidR="006533B9" w:rsidRPr="005143A3" w:rsidRDefault="006533B9" w:rsidP="00CB51D5">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DE5041"/>
    <w:multiLevelType w:val="hybridMultilevel"/>
    <w:tmpl w:val="FA7CF96C"/>
    <w:lvl w:ilvl="0" w:tplc="567403D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7"/>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8"/>
  </w:num>
  <w:num w:numId="10" w16cid:durableId="1391267327">
    <w:abstractNumId w:val="6"/>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8"/>
  </w:num>
  <w:num w:numId="15" w16cid:durableId="1149983417">
    <w:abstractNumId w:val="12"/>
  </w:num>
  <w:num w:numId="16" w16cid:durableId="1604267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7"/>
  </w:num>
  <w:num w:numId="20" w16cid:durableId="139180188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151B"/>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B7B73"/>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0995"/>
    <w:rsid w:val="00461445"/>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01D04"/>
    <w:rsid w:val="005143A3"/>
    <w:rsid w:val="0051549B"/>
    <w:rsid w:val="00516567"/>
    <w:rsid w:val="0053542F"/>
    <w:rsid w:val="00543714"/>
    <w:rsid w:val="00561B99"/>
    <w:rsid w:val="005768A7"/>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469F"/>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216E"/>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30EC"/>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94895"/>
    <w:rsid w:val="00AA42AA"/>
    <w:rsid w:val="00AA7F2F"/>
    <w:rsid w:val="00AB57E9"/>
    <w:rsid w:val="00AC2906"/>
    <w:rsid w:val="00AC79CA"/>
    <w:rsid w:val="00AD2C68"/>
    <w:rsid w:val="00AD75EB"/>
    <w:rsid w:val="00AF2F14"/>
    <w:rsid w:val="00AF3C28"/>
    <w:rsid w:val="00B20DA4"/>
    <w:rsid w:val="00B23610"/>
    <w:rsid w:val="00B3242B"/>
    <w:rsid w:val="00B62F5A"/>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uld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2448</Words>
  <Characters>13959</Characters>
  <Application>Microsoft Office Word</Application>
  <DocSecurity>0</DocSecurity>
  <Lines>116</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2025-12-15T15:09:00Z</dcterms:created>
  <dcterms:modified xsi:type="dcterms:W3CDTF">2025-12-15T15:09:00Z</dcterms:modified>
</cp:coreProperties>
</file>