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DDDF6" w14:textId="77777777" w:rsidR="00E273B2" w:rsidRDefault="00E273B2" w:rsidP="00E273B2">
      <w:pPr>
        <w:jc w:val="center"/>
        <w:rPr>
          <w:rFonts w:ascii="Times New Roman" w:hAnsi="Times New Roman" w:cs="Times New Roman"/>
          <w:b/>
          <w:bCs/>
          <w:sz w:val="28"/>
          <w:szCs w:val="28"/>
          <w:lang w:val="lv-LV"/>
        </w:rPr>
      </w:pPr>
    </w:p>
    <w:p w14:paraId="3DA91E67" w14:textId="0B9A14A8" w:rsidR="00E273B2" w:rsidRDefault="00E273B2" w:rsidP="00E273B2">
      <w:pPr>
        <w:jc w:val="center"/>
        <w:rPr>
          <w:rFonts w:ascii="Times New Roman" w:hAnsi="Times New Roman" w:cs="Times New Roman"/>
          <w:b/>
          <w:bCs/>
          <w:sz w:val="28"/>
          <w:szCs w:val="28"/>
          <w:lang w:val="lv-LV"/>
        </w:rPr>
      </w:pPr>
      <w:r w:rsidRPr="00A5138F">
        <w:rPr>
          <w:rFonts w:ascii="Times New Roman" w:hAnsi="Times New Roman" w:cs="Times New Roman"/>
          <w:b/>
          <w:bCs/>
          <w:sz w:val="28"/>
          <w:szCs w:val="28"/>
          <w:lang w:val="lv-LV"/>
        </w:rPr>
        <w:t>INFORMATĪVAIS MATERIĀLS SABIEDRĪBAI</w:t>
      </w:r>
    </w:p>
    <w:p w14:paraId="60697DF2" w14:textId="7A3E910D" w:rsidR="00FA0F8F" w:rsidRPr="00857912" w:rsidRDefault="00FA0F8F" w:rsidP="00FA0F8F">
      <w:pPr>
        <w:jc w:val="center"/>
        <w:rPr>
          <w:rFonts w:ascii="Times New Roman" w:hAnsi="Times New Roman" w:cs="Times New Roman"/>
          <w:sz w:val="28"/>
          <w:szCs w:val="28"/>
          <w:lang w:val="lv-LV"/>
        </w:rPr>
      </w:pPr>
      <w:r w:rsidRPr="00857912">
        <w:rPr>
          <w:rFonts w:ascii="Times New Roman" w:hAnsi="Times New Roman" w:cs="Times New Roman"/>
          <w:sz w:val="28"/>
          <w:szCs w:val="28"/>
          <w:lang w:val="lv-LV"/>
        </w:rPr>
        <w:t>par rīcību avārijas gadījumā un paredzētajiem aizsardzības pasākumiem</w:t>
      </w:r>
    </w:p>
    <w:p w14:paraId="1C002B97" w14:textId="4A119AFC" w:rsidR="00E273B2" w:rsidRDefault="00E273B2" w:rsidP="00E273B2">
      <w:pPr>
        <w:jc w:val="center"/>
        <w:rPr>
          <w:rFonts w:ascii="Times New Roman" w:hAnsi="Times New Roman" w:cs="Times New Roman"/>
          <w:sz w:val="28"/>
          <w:szCs w:val="28"/>
          <w:lang w:val="lv-LV"/>
        </w:rPr>
      </w:pPr>
    </w:p>
    <w:p w14:paraId="623F4BA8" w14:textId="77777777" w:rsidR="008243CF" w:rsidRPr="00152914" w:rsidRDefault="008243CF" w:rsidP="00E273B2">
      <w:pPr>
        <w:jc w:val="center"/>
        <w:rPr>
          <w:rFonts w:ascii="Times New Roman" w:hAnsi="Times New Roman" w:cs="Times New Roman"/>
          <w:b/>
          <w:bCs/>
          <w:sz w:val="28"/>
          <w:szCs w:val="28"/>
          <w:lang w:val="lv-LV"/>
        </w:rPr>
      </w:pPr>
    </w:p>
    <w:p w14:paraId="4D94EEFC" w14:textId="56354FD4" w:rsidR="00E273B2" w:rsidRPr="005A2D9A" w:rsidRDefault="00E273B2" w:rsidP="00E273B2">
      <w:pPr>
        <w:pStyle w:val="Default"/>
        <w:jc w:val="both"/>
        <w:rPr>
          <w:rFonts w:ascii="Times New Roman" w:hAnsi="Times New Roman" w:cs="Times New Roman"/>
        </w:rPr>
      </w:pPr>
      <w:r w:rsidRPr="005A2D9A">
        <w:rPr>
          <w:rFonts w:ascii="Times New Roman" w:hAnsi="Times New Roman" w:cs="Times New Roman"/>
        </w:rPr>
        <w:t xml:space="preserve">Šī materiāla mērķis ir informēt AS </w:t>
      </w:r>
      <w:r w:rsidR="000D61C7">
        <w:rPr>
          <w:rFonts w:ascii="Times New Roman" w:hAnsi="Times New Roman" w:cs="Times New Roman"/>
        </w:rPr>
        <w:t>“</w:t>
      </w:r>
      <w:r w:rsidRPr="005A2D9A">
        <w:rPr>
          <w:rFonts w:ascii="Times New Roman" w:hAnsi="Times New Roman" w:cs="Times New Roman"/>
        </w:rPr>
        <w:t xml:space="preserve">Conexus Baltic Grid” </w:t>
      </w:r>
      <w:r>
        <w:rPr>
          <w:rFonts w:ascii="Times New Roman" w:hAnsi="Times New Roman" w:cs="Times New Roman"/>
        </w:rPr>
        <w:t xml:space="preserve">(turpmāk – Conexus) </w:t>
      </w:r>
      <w:r w:rsidR="00673FFB" w:rsidRPr="00DB070F">
        <w:rPr>
          <w:rFonts w:ascii="Times New Roman" w:hAnsi="Times New Roman" w:cs="Times New Roman"/>
          <w:b/>
          <w:bCs/>
        </w:rPr>
        <w:t>dabasgāzes pārvades sistēmas objektu</w:t>
      </w:r>
      <w:r w:rsidRPr="005A2D9A">
        <w:rPr>
          <w:rFonts w:ascii="Times New Roman" w:hAnsi="Times New Roman" w:cs="Times New Roman"/>
        </w:rPr>
        <w:t xml:space="preserve"> apkārtnē dzīvojošos iedzīvotājus un tuvumā izvietotos uzņēmumus par iespējamo apdraudējumu un nepieciešamo rīcību avāriju gadījumā </w:t>
      </w:r>
      <w:r w:rsidR="00894CDB" w:rsidRPr="00673FFB">
        <w:rPr>
          <w:rFonts w:ascii="Times New Roman" w:hAnsi="Times New Roman" w:cs="Times New Roman"/>
        </w:rPr>
        <w:t>dabasgāzes pārvades sistēmas objekt</w:t>
      </w:r>
      <w:r w:rsidR="000F5E69">
        <w:rPr>
          <w:rFonts w:ascii="Times New Roman" w:hAnsi="Times New Roman" w:cs="Times New Roman"/>
        </w:rPr>
        <w:t>os</w:t>
      </w:r>
      <w:r w:rsidRPr="005A2D9A">
        <w:rPr>
          <w:rFonts w:ascii="Times New Roman" w:hAnsi="Times New Roman" w:cs="Times New Roman"/>
        </w:rPr>
        <w:t>, kā arī paredzētajiem aizsardzības pasākumiem.</w:t>
      </w:r>
    </w:p>
    <w:p w14:paraId="65A11D0D" w14:textId="77777777" w:rsidR="00E273B2" w:rsidRPr="005A2D9A" w:rsidRDefault="00E273B2" w:rsidP="00E273B2">
      <w:pPr>
        <w:jc w:val="center"/>
        <w:rPr>
          <w:rFonts w:ascii="Times New Roman" w:hAnsi="Times New Roman" w:cs="Times New Roman"/>
          <w:lang w:val="lv-LV"/>
        </w:rPr>
      </w:pPr>
    </w:p>
    <w:p w14:paraId="71855ED6" w14:textId="0FF762D7" w:rsidR="00E273B2" w:rsidRPr="005A2D9A" w:rsidRDefault="00E273B2" w:rsidP="00E273B2">
      <w:pPr>
        <w:jc w:val="both"/>
        <w:rPr>
          <w:rFonts w:ascii="Times New Roman" w:hAnsi="Times New Roman" w:cs="Times New Roman"/>
          <w:lang w:val="lv-LV"/>
        </w:rPr>
      </w:pPr>
      <w:r w:rsidRPr="005A2D9A">
        <w:rPr>
          <w:rFonts w:ascii="Times New Roman" w:hAnsi="Times New Roman" w:cs="Times New Roman"/>
          <w:lang w:val="lv-LV"/>
        </w:rPr>
        <w:t>Informatīvais materiāls izstrādāts 202</w:t>
      </w:r>
      <w:r w:rsidR="00653372">
        <w:rPr>
          <w:rFonts w:ascii="Times New Roman" w:hAnsi="Times New Roman" w:cs="Times New Roman"/>
          <w:lang w:val="lv-LV"/>
        </w:rPr>
        <w:t>3</w:t>
      </w:r>
      <w:r w:rsidRPr="005A2D9A">
        <w:rPr>
          <w:rFonts w:ascii="Times New Roman" w:hAnsi="Times New Roman" w:cs="Times New Roman"/>
          <w:lang w:val="lv-LV"/>
        </w:rPr>
        <w:t>.</w:t>
      </w:r>
      <w:r>
        <w:rPr>
          <w:rFonts w:ascii="Times New Roman" w:hAnsi="Times New Roman" w:cs="Times New Roman"/>
          <w:lang w:val="lv-LV"/>
        </w:rPr>
        <w:t> </w:t>
      </w:r>
      <w:r w:rsidRPr="005A2D9A">
        <w:rPr>
          <w:rFonts w:ascii="Times New Roman" w:hAnsi="Times New Roman" w:cs="Times New Roman"/>
          <w:lang w:val="lv-LV"/>
        </w:rPr>
        <w:t xml:space="preserve">gada </w:t>
      </w:r>
      <w:r w:rsidR="000F5E69">
        <w:rPr>
          <w:rFonts w:ascii="Times New Roman" w:hAnsi="Times New Roman" w:cs="Times New Roman"/>
          <w:lang w:val="lv-LV"/>
        </w:rPr>
        <w:t>decembrī</w:t>
      </w:r>
      <w:r w:rsidRPr="005A2D9A">
        <w:rPr>
          <w:rFonts w:ascii="Times New Roman" w:hAnsi="Times New Roman" w:cs="Times New Roman"/>
          <w:lang w:val="lv-LV"/>
        </w:rPr>
        <w:t xml:space="preserve">, atbilstoši Latvijas Republikas </w:t>
      </w:r>
      <w:r w:rsidR="007B7114" w:rsidRPr="007B7114">
        <w:rPr>
          <w:rFonts w:ascii="Times New Roman" w:hAnsi="Times New Roman" w:cs="Times New Roman"/>
          <w:lang w:val="lv-LV"/>
        </w:rPr>
        <w:t>Ministru kabineta 2006. gada 5. decembra noteikumu “Enerģētikas infrastruktūras objektu aizsargjoslu noteikšanas metodika”</w:t>
      </w:r>
      <w:r w:rsidR="007B7114">
        <w:rPr>
          <w:rFonts w:ascii="Times New Roman" w:hAnsi="Times New Roman" w:cs="Times New Roman"/>
          <w:lang w:val="lv-LV"/>
        </w:rPr>
        <w:t xml:space="preserve"> </w:t>
      </w:r>
      <w:r w:rsidR="007B7114" w:rsidRPr="007B7114">
        <w:rPr>
          <w:rFonts w:ascii="Times New Roman" w:hAnsi="Times New Roman" w:cs="Times New Roman"/>
          <w:lang w:val="lv-LV"/>
        </w:rPr>
        <w:t xml:space="preserve">41. </w:t>
      </w:r>
      <w:r w:rsidRPr="005A2D9A">
        <w:rPr>
          <w:rFonts w:ascii="Times New Roman" w:hAnsi="Times New Roman" w:cs="Times New Roman"/>
          <w:lang w:val="lv-LV"/>
        </w:rPr>
        <w:t>punkta prasībām.</w:t>
      </w:r>
    </w:p>
    <w:p w14:paraId="24943DDE" w14:textId="77777777" w:rsidR="00E273B2" w:rsidRPr="005A2D9A" w:rsidRDefault="00E273B2" w:rsidP="00E273B2">
      <w:pPr>
        <w:pStyle w:val="Default"/>
        <w:rPr>
          <w:rFonts w:ascii="Times New Roman" w:hAnsi="Times New Roman" w:cs="Times New Roman"/>
          <w:b/>
          <w:bCs/>
          <w:color w:val="FF0000"/>
        </w:rPr>
      </w:pPr>
    </w:p>
    <w:p w14:paraId="4FE07929" w14:textId="5DE75BF7" w:rsidR="00E273B2" w:rsidRDefault="00E273B2" w:rsidP="00FB0C90">
      <w:pPr>
        <w:pStyle w:val="Default"/>
        <w:spacing w:before="120" w:after="120"/>
        <w:jc w:val="both"/>
        <w:rPr>
          <w:rFonts w:ascii="Times New Roman" w:hAnsi="Times New Roman" w:cs="Times New Roman"/>
        </w:rPr>
      </w:pPr>
      <w:r>
        <w:rPr>
          <w:rFonts w:ascii="Times New Roman" w:hAnsi="Times New Roman" w:cs="Times New Roman"/>
          <w:b/>
          <w:bCs/>
          <w:color w:val="auto"/>
          <w:sz w:val="28"/>
          <w:szCs w:val="28"/>
        </w:rPr>
        <w:t>K</w:t>
      </w:r>
      <w:r w:rsidRPr="00D5564A">
        <w:rPr>
          <w:rFonts w:ascii="Times New Roman" w:hAnsi="Times New Roman" w:cs="Times New Roman"/>
          <w:b/>
          <w:bCs/>
          <w:color w:val="auto"/>
          <w:sz w:val="28"/>
          <w:szCs w:val="28"/>
        </w:rPr>
        <w:t>ontakti</w:t>
      </w:r>
      <w:r w:rsidRPr="005A2D9A">
        <w:rPr>
          <w:rFonts w:ascii="Times New Roman" w:hAnsi="Times New Roman" w:cs="Times New Roman"/>
        </w:rPr>
        <w:t xml:space="preserve"> </w:t>
      </w:r>
    </w:p>
    <w:p w14:paraId="7C12E5FF" w14:textId="5A48B024" w:rsidR="00E273B2" w:rsidRPr="005A2D9A" w:rsidRDefault="00E273B2" w:rsidP="00E273B2">
      <w:pPr>
        <w:pStyle w:val="Default"/>
        <w:rPr>
          <w:rFonts w:ascii="Times New Roman" w:hAnsi="Times New Roman" w:cs="Times New Roman"/>
        </w:rPr>
      </w:pPr>
      <w:r w:rsidRPr="005A2D9A">
        <w:rPr>
          <w:rFonts w:ascii="Times New Roman" w:hAnsi="Times New Roman" w:cs="Times New Roman"/>
        </w:rPr>
        <w:t xml:space="preserve">Akciju sabiedrība </w:t>
      </w:r>
      <w:r w:rsidR="000D61C7">
        <w:rPr>
          <w:rFonts w:ascii="Times New Roman" w:hAnsi="Times New Roman" w:cs="Times New Roman"/>
        </w:rPr>
        <w:t>“</w:t>
      </w:r>
      <w:r w:rsidRPr="005A2D9A">
        <w:rPr>
          <w:rFonts w:ascii="Times New Roman" w:hAnsi="Times New Roman" w:cs="Times New Roman"/>
        </w:rPr>
        <w:t>Conexus Baltic Grid”</w:t>
      </w:r>
      <w:r>
        <w:rPr>
          <w:rFonts w:ascii="Times New Roman" w:hAnsi="Times New Roman" w:cs="Times New Roman"/>
        </w:rPr>
        <w:tab/>
      </w:r>
    </w:p>
    <w:p w14:paraId="7C0E5361" w14:textId="50A32E66" w:rsidR="00E273B2" w:rsidRPr="005A2D9A" w:rsidRDefault="00E273B2" w:rsidP="00E273B2">
      <w:pPr>
        <w:pStyle w:val="Default"/>
        <w:rPr>
          <w:rFonts w:ascii="Times New Roman" w:hAnsi="Times New Roman" w:cs="Times New Roman"/>
        </w:rPr>
      </w:pPr>
      <w:r w:rsidRPr="005A2D9A">
        <w:rPr>
          <w:rFonts w:ascii="Times New Roman" w:hAnsi="Times New Roman" w:cs="Times New Roman"/>
        </w:rPr>
        <w:t>Tālrunis: 67087900</w:t>
      </w:r>
      <w:r>
        <w:rPr>
          <w:rFonts w:ascii="Times New Roman" w:hAnsi="Times New Roman" w:cs="Times New Roman"/>
        </w:rPr>
        <w:tab/>
      </w:r>
      <w:r>
        <w:rPr>
          <w:rFonts w:ascii="Times New Roman" w:hAnsi="Times New Roman" w:cs="Times New Roman"/>
        </w:rPr>
        <w:tab/>
      </w:r>
    </w:p>
    <w:p w14:paraId="4CA1B83C" w14:textId="35E09931" w:rsidR="00E273B2" w:rsidRDefault="00E273B2" w:rsidP="00E273B2">
      <w:pPr>
        <w:pStyle w:val="Default"/>
        <w:rPr>
          <w:rFonts w:ascii="Times New Roman" w:hAnsi="Times New Roman" w:cs="Times New Roman"/>
        </w:rPr>
      </w:pPr>
      <w:r w:rsidRPr="005A2D9A">
        <w:rPr>
          <w:rFonts w:ascii="Times New Roman" w:hAnsi="Times New Roman" w:cs="Times New Roman"/>
        </w:rPr>
        <w:t xml:space="preserve">E-pasts: </w:t>
      </w:r>
      <w:hyperlink r:id="rId8" w:history="1">
        <w:r w:rsidRPr="00581632">
          <w:rPr>
            <w:rStyle w:val="Hyperlink"/>
            <w:rFonts w:ascii="Times New Roman" w:hAnsi="Times New Roman" w:cs="Times New Roman"/>
          </w:rPr>
          <w:t>info@conexus.lv</w:t>
        </w:r>
      </w:hyperlink>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5F8671A" w14:textId="61E31878" w:rsidR="00E273B2" w:rsidRPr="005A2D9A" w:rsidRDefault="00E273B2" w:rsidP="00E273B2">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9C6045" w14:textId="55338588" w:rsidR="00E273B2" w:rsidRDefault="00E273B2" w:rsidP="00077785">
      <w:pPr>
        <w:pStyle w:val="Default"/>
        <w:spacing w:before="120" w:after="120"/>
        <w:rPr>
          <w:rFonts w:ascii="Times New Roman" w:hAnsi="Times New Roman" w:cs="Times New Roman"/>
          <w:b/>
          <w:bCs/>
          <w:sz w:val="28"/>
          <w:szCs w:val="28"/>
        </w:rPr>
      </w:pPr>
      <w:r w:rsidRPr="000E73AD">
        <w:rPr>
          <w:rFonts w:ascii="Times New Roman" w:hAnsi="Times New Roman" w:cs="Times New Roman"/>
          <w:b/>
          <w:bCs/>
          <w:sz w:val="28"/>
          <w:szCs w:val="28"/>
        </w:rPr>
        <w:t>Papildus informācijas iegūšanas iespējas</w:t>
      </w:r>
    </w:p>
    <w:p w14:paraId="0D1B06A9" w14:textId="7C8950D1" w:rsidR="00E273B2" w:rsidRDefault="00E273B2" w:rsidP="00E273B2">
      <w:pPr>
        <w:pStyle w:val="Default"/>
        <w:rPr>
          <w:rFonts w:ascii="Times New Roman" w:hAnsi="Times New Roman" w:cs="Times New Roman"/>
        </w:rPr>
      </w:pPr>
      <w:r w:rsidRPr="000E73AD">
        <w:rPr>
          <w:rFonts w:ascii="Times New Roman" w:hAnsi="Times New Roman" w:cs="Times New Roman"/>
        </w:rPr>
        <w:t xml:space="preserve">Plašāka informācija par uzņēmumu ir atrodama uzņēmuma tīmekļvietnē </w:t>
      </w:r>
      <w:hyperlink r:id="rId9" w:history="1">
        <w:r w:rsidRPr="000E73AD">
          <w:rPr>
            <w:rStyle w:val="Hyperlink"/>
            <w:rFonts w:ascii="Times New Roman" w:hAnsi="Times New Roman" w:cs="Times New Roman"/>
          </w:rPr>
          <w:t>https://www.conexus.lv/</w:t>
        </w:r>
      </w:hyperlink>
      <w:r w:rsidRPr="000E73AD">
        <w:rPr>
          <w:rFonts w:ascii="Times New Roman" w:hAnsi="Times New Roman" w:cs="Times New Roman"/>
        </w:rPr>
        <w:t>.</w:t>
      </w:r>
    </w:p>
    <w:p w14:paraId="3AEE59F6" w14:textId="64FE0BE8" w:rsidR="008378BC" w:rsidRDefault="008378BC" w:rsidP="00E273B2">
      <w:pPr>
        <w:pStyle w:val="Default"/>
        <w:rPr>
          <w:rFonts w:ascii="Times New Roman" w:hAnsi="Times New Roman" w:cs="Times New Roman"/>
        </w:rPr>
      </w:pPr>
    </w:p>
    <w:p w14:paraId="1BC09BED" w14:textId="424498E1" w:rsidR="008378BC" w:rsidRDefault="008378BC" w:rsidP="00FB0C90">
      <w:pPr>
        <w:ind w:right="95"/>
        <w:jc w:val="both"/>
        <w:rPr>
          <w:color w:val="5B566E"/>
          <w:lang w:val="lv-LV"/>
        </w:rPr>
      </w:pPr>
      <w:r w:rsidRPr="00795D85">
        <w:rPr>
          <w:rFonts w:ascii="Times New Roman" w:hAnsi="Times New Roman" w:cs="Times New Roman"/>
          <w:color w:val="000000"/>
          <w:lang w:val="lv-LV"/>
        </w:rPr>
        <w:t>Papildinformāciju var saņemt</w:t>
      </w:r>
      <w:r>
        <w:rPr>
          <w:rFonts w:ascii="Times New Roman" w:hAnsi="Times New Roman" w:cs="Times New Roman"/>
          <w:color w:val="000000"/>
          <w:lang w:val="lv-LV"/>
        </w:rPr>
        <w:t>,</w:t>
      </w:r>
      <w:r w:rsidRPr="00795D85">
        <w:rPr>
          <w:rFonts w:ascii="Times New Roman" w:hAnsi="Times New Roman" w:cs="Times New Roman"/>
          <w:color w:val="000000"/>
          <w:lang w:val="lv-LV"/>
        </w:rPr>
        <w:t xml:space="preserve"> sūtot vēstuli pa pastu uz </w:t>
      </w:r>
      <w:r>
        <w:rPr>
          <w:rFonts w:ascii="Times New Roman" w:hAnsi="Times New Roman" w:cs="Times New Roman"/>
          <w:color w:val="000000"/>
          <w:lang w:val="lv-LV"/>
        </w:rPr>
        <w:t xml:space="preserve">AS “Conexus Baltic Grid” </w:t>
      </w:r>
      <w:r w:rsidRPr="00795D85">
        <w:rPr>
          <w:rFonts w:ascii="Times New Roman" w:hAnsi="Times New Roman" w:cs="Times New Roman"/>
          <w:color w:val="000000"/>
          <w:lang w:val="lv-LV"/>
        </w:rPr>
        <w:t>juridisko adresi Rīgā, Stigu ielā 14, LV-1021, vai elektroniski uz e-pastu:</w:t>
      </w:r>
      <w:r w:rsidR="00FB0C90">
        <w:rPr>
          <w:rFonts w:ascii="Times New Roman" w:hAnsi="Times New Roman" w:cs="Times New Roman"/>
          <w:color w:val="000000"/>
          <w:lang w:val="lv-LV"/>
        </w:rPr>
        <w:t xml:space="preserve"> </w:t>
      </w:r>
      <w:r w:rsidR="00624536" w:rsidRPr="00624536">
        <w:rPr>
          <w:rStyle w:val="Hyperlink"/>
          <w:rFonts w:ascii="Times New Roman" w:hAnsi="Times New Roman" w:cs="Times New Roman"/>
          <w:lang w:val="lv-LV"/>
        </w:rPr>
        <w:t>info@conexus.lv</w:t>
      </w:r>
      <w:r w:rsidRPr="00795D85">
        <w:rPr>
          <w:rFonts w:ascii="Times New Roman" w:hAnsi="Times New Roman" w:cs="Times New Roman"/>
          <w:color w:val="000000"/>
          <w:lang w:val="lv-LV"/>
        </w:rPr>
        <w:t>.</w:t>
      </w:r>
    </w:p>
    <w:p w14:paraId="011B9F72" w14:textId="77777777" w:rsidR="008378BC" w:rsidRPr="000E73AD" w:rsidRDefault="008378BC" w:rsidP="00E273B2">
      <w:pPr>
        <w:pStyle w:val="Default"/>
        <w:rPr>
          <w:rFonts w:ascii="Times New Roman" w:hAnsi="Times New Roman" w:cs="Times New Roman"/>
        </w:rPr>
      </w:pPr>
    </w:p>
    <w:p w14:paraId="0D09AAD3" w14:textId="34781F29" w:rsidR="00614C61" w:rsidRPr="00614C61" w:rsidRDefault="00614C61" w:rsidP="00614C61">
      <w:pPr>
        <w:pStyle w:val="Default"/>
        <w:spacing w:before="120" w:after="120"/>
        <w:rPr>
          <w:rFonts w:ascii="Times New Roman" w:hAnsi="Times New Roman" w:cs="Times New Roman"/>
          <w:b/>
          <w:bCs/>
          <w:color w:val="auto"/>
          <w:sz w:val="28"/>
          <w:szCs w:val="28"/>
        </w:rPr>
      </w:pPr>
      <w:r w:rsidRPr="00614C61">
        <w:rPr>
          <w:rFonts w:ascii="Times New Roman" w:hAnsi="Times New Roman" w:cs="Times New Roman"/>
          <w:b/>
          <w:bCs/>
          <w:color w:val="auto"/>
          <w:sz w:val="28"/>
          <w:szCs w:val="28"/>
        </w:rPr>
        <w:t xml:space="preserve">Darbības apraksts </w:t>
      </w:r>
    </w:p>
    <w:p w14:paraId="3C385151" w14:textId="153AE891" w:rsidR="006D012F" w:rsidRDefault="006D012F" w:rsidP="006D012F">
      <w:pPr>
        <w:pStyle w:val="Default"/>
        <w:contextualSpacing/>
        <w:jc w:val="both"/>
        <w:rPr>
          <w:rFonts w:ascii="Times New Roman" w:hAnsi="Times New Roman" w:cs="Times New Roman"/>
        </w:rPr>
      </w:pPr>
      <w:r w:rsidRPr="006D012F">
        <w:rPr>
          <w:rFonts w:ascii="Times New Roman" w:hAnsi="Times New Roman" w:cs="Times New Roman"/>
        </w:rPr>
        <w:t>Conexus ir vienīgais dabasgāzes pārvades sistēmas operators Latvijā un sniedz iespēju sertificētiem tirgotājiem izmantot Latvijas dabasgāzes pārvades sistēmu tirdzniecības realizēšanai ne tikai Latvijas teritorijā, bet arī tuvākajos reģionos.</w:t>
      </w:r>
    </w:p>
    <w:p w14:paraId="41A27A3B" w14:textId="77777777" w:rsidR="00DD7ED4" w:rsidRDefault="00DD7ED4" w:rsidP="006D012F">
      <w:pPr>
        <w:pStyle w:val="Default"/>
        <w:contextualSpacing/>
        <w:jc w:val="both"/>
        <w:rPr>
          <w:rFonts w:ascii="Times New Roman" w:hAnsi="Times New Roman" w:cs="Times New Roman"/>
        </w:rPr>
      </w:pPr>
    </w:p>
    <w:p w14:paraId="0FF8CC1C" w14:textId="5B535464" w:rsidR="00DD7ED4" w:rsidRDefault="000D61C7" w:rsidP="006D012F">
      <w:pPr>
        <w:pStyle w:val="Default"/>
        <w:contextualSpacing/>
        <w:jc w:val="both"/>
        <w:rPr>
          <w:rFonts w:ascii="Times New Roman" w:hAnsi="Times New Roman" w:cs="Times New Roman"/>
        </w:rPr>
      </w:pPr>
      <w:r>
        <w:rPr>
          <w:rFonts w:ascii="Times New Roman" w:hAnsi="Times New Roman" w:cs="Times New Roman"/>
        </w:rPr>
        <w:t>Conexus</w:t>
      </w:r>
      <w:r w:rsidR="00DD7ED4" w:rsidRPr="00DD7ED4">
        <w:rPr>
          <w:rFonts w:ascii="Times New Roman" w:hAnsi="Times New Roman" w:cs="Times New Roman"/>
        </w:rPr>
        <w:t xml:space="preserve"> Gāzes pārvades sistēma sastāv no vairāk nekā 1190 km pārvades cauruļvadu ar atzariem un tehnoloģiskajiem objektiem. Gāzes pārvades sistēmas tehnoloģiskie objekti izvietoti plašā Latvijas teritorijā</w:t>
      </w:r>
      <w:r w:rsidR="1C5D2852" w:rsidRPr="4B9E453E">
        <w:rPr>
          <w:rFonts w:ascii="Times New Roman" w:hAnsi="Times New Roman" w:cs="Times New Roman"/>
        </w:rPr>
        <w:t>.</w:t>
      </w:r>
    </w:p>
    <w:p w14:paraId="2BF6B0B5" w14:textId="77777777" w:rsidR="00DD7ED4" w:rsidRDefault="00DD7ED4" w:rsidP="006D012F">
      <w:pPr>
        <w:pStyle w:val="Default"/>
        <w:contextualSpacing/>
        <w:jc w:val="both"/>
        <w:rPr>
          <w:rFonts w:ascii="Times New Roman" w:hAnsi="Times New Roman" w:cs="Times New Roman"/>
        </w:rPr>
      </w:pPr>
    </w:p>
    <w:p w14:paraId="2ED9D020" w14:textId="270648AD" w:rsidR="002E3A7A" w:rsidRPr="006D012F" w:rsidRDefault="007B2228" w:rsidP="002E3A7A">
      <w:pPr>
        <w:pStyle w:val="Default"/>
        <w:contextualSpacing/>
        <w:jc w:val="center"/>
        <w:rPr>
          <w:rFonts w:ascii="Times New Roman" w:hAnsi="Times New Roman" w:cs="Times New Roman"/>
        </w:rPr>
      </w:pPr>
      <w:r>
        <w:rPr>
          <w:noProof/>
        </w:rPr>
        <w:lastRenderedPageBreak/>
        <w:drawing>
          <wp:inline distT="0" distB="0" distL="0" distR="0" wp14:anchorId="060C30B2" wp14:editId="47BFE022">
            <wp:extent cx="4818380" cy="2895600"/>
            <wp:effectExtent l="0" t="0" r="1270" b="0"/>
            <wp:docPr id="4" name="Picture 4" descr="Gāzes pārvades sistēma | Conex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āzes pārvades sistēma | Conex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8380" cy="2895600"/>
                    </a:xfrm>
                    <a:prstGeom prst="rect">
                      <a:avLst/>
                    </a:prstGeom>
                    <a:noFill/>
                    <a:ln>
                      <a:noFill/>
                    </a:ln>
                  </pic:spPr>
                </pic:pic>
              </a:graphicData>
            </a:graphic>
          </wp:inline>
        </w:drawing>
      </w:r>
    </w:p>
    <w:p w14:paraId="19798E27" w14:textId="77777777" w:rsidR="006D012F" w:rsidRPr="006D012F" w:rsidRDefault="006D012F" w:rsidP="00F11872">
      <w:pPr>
        <w:pStyle w:val="Default"/>
        <w:contextualSpacing/>
        <w:jc w:val="both"/>
        <w:rPr>
          <w:rFonts w:ascii="Times New Roman" w:hAnsi="Times New Roman" w:cs="Times New Roman"/>
        </w:rPr>
      </w:pPr>
      <w:r w:rsidRPr="006D012F">
        <w:rPr>
          <w:rFonts w:ascii="Times New Roman" w:hAnsi="Times New Roman" w:cs="Times New Roman"/>
        </w:rPr>
        <w:t>Latvijas dabasgāzes pārvades sistēmas infrastruktūru veido:</w:t>
      </w:r>
    </w:p>
    <w:p w14:paraId="631519BD"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gāzesvadi ar noslēdzošu armatūru;</w:t>
      </w:r>
    </w:p>
    <w:p w14:paraId="3B8959DA" w14:textId="4C964CF1"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gāzes regulēšanas stacijas, gāzes regulēšanas mezgli un gāzes mērīšanas stacija;</w:t>
      </w:r>
    </w:p>
    <w:p w14:paraId="1F48D325"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telemehānikas, sakaru un elektroapgādes sistēmas;</w:t>
      </w:r>
    </w:p>
    <w:p w14:paraId="47D8E8D7"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elektroķīmiskā aizsardzības sistēma;</w:t>
      </w:r>
    </w:p>
    <w:p w14:paraId="676954FF"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drošības sistēmas.</w:t>
      </w:r>
    </w:p>
    <w:p w14:paraId="365A8919" w14:textId="77777777" w:rsidR="006D012F" w:rsidRPr="006D012F" w:rsidRDefault="006D012F" w:rsidP="006D012F">
      <w:pPr>
        <w:pStyle w:val="Default"/>
        <w:contextualSpacing/>
        <w:jc w:val="both"/>
        <w:rPr>
          <w:rFonts w:ascii="Times New Roman" w:hAnsi="Times New Roman" w:cs="Times New Roman"/>
        </w:rPr>
      </w:pPr>
    </w:p>
    <w:p w14:paraId="28B5FF1E" w14:textId="640B9DB6" w:rsidR="00E273B2" w:rsidRDefault="00E273B2" w:rsidP="00E273B2">
      <w:pPr>
        <w:pStyle w:val="Default"/>
        <w:rPr>
          <w:rFonts w:ascii="Times New Roman" w:hAnsi="Times New Roman" w:cs="Times New Roman"/>
          <w:b/>
          <w:bCs/>
          <w:sz w:val="28"/>
          <w:szCs w:val="28"/>
        </w:rPr>
      </w:pPr>
      <w:r w:rsidRPr="00D07AEA">
        <w:rPr>
          <w:rFonts w:ascii="Times New Roman" w:hAnsi="Times New Roman" w:cs="Times New Roman"/>
          <w:b/>
          <w:bCs/>
          <w:sz w:val="28"/>
          <w:szCs w:val="28"/>
        </w:rPr>
        <w:t>Informācija par bīstamajām vielām</w:t>
      </w:r>
    </w:p>
    <w:p w14:paraId="6908F84A" w14:textId="77777777" w:rsidR="00E273B2" w:rsidRDefault="00E273B2" w:rsidP="00A93950">
      <w:pPr>
        <w:spacing w:before="120" w:after="120"/>
        <w:jc w:val="both"/>
        <w:rPr>
          <w:rFonts w:ascii="Times New Roman" w:eastAsia="Times New Roman" w:hAnsi="Times New Roman" w:cs="Times New Roman"/>
          <w:b/>
          <w:bCs/>
          <w:lang w:val="lv-LV" w:eastAsia="zh-CN"/>
        </w:rPr>
      </w:pPr>
      <w:r w:rsidRPr="00411082">
        <w:rPr>
          <w:rFonts w:ascii="Times New Roman" w:eastAsia="Times New Roman" w:hAnsi="Times New Roman" w:cs="Times New Roman"/>
          <w:b/>
          <w:bCs/>
          <w:lang w:val="lv-LV" w:eastAsia="zh-CN"/>
        </w:rPr>
        <w:t>Dabasgāze, CAS Nr. 8006-14-2, EC Nr.</w:t>
      </w:r>
      <w:r w:rsidRPr="003948DB">
        <w:rPr>
          <w:lang w:val="lv-LV"/>
        </w:rPr>
        <w:t xml:space="preserve"> </w:t>
      </w:r>
      <w:r w:rsidRPr="00060EAB">
        <w:rPr>
          <w:rFonts w:ascii="Times New Roman" w:eastAsia="Times New Roman" w:hAnsi="Times New Roman" w:cs="Times New Roman"/>
          <w:b/>
          <w:bCs/>
          <w:lang w:val="lv-LV" w:eastAsia="zh-CN"/>
        </w:rPr>
        <w:t>232-343-9</w:t>
      </w:r>
    </w:p>
    <w:p w14:paraId="328F46C1" w14:textId="082AA8DE" w:rsidR="00857912" w:rsidRDefault="00857912" w:rsidP="00A93950">
      <w:pPr>
        <w:spacing w:before="120" w:after="120"/>
        <w:jc w:val="both"/>
        <w:rPr>
          <w:rFonts w:ascii="Times New Roman" w:eastAsia="Times New Roman" w:hAnsi="Times New Roman" w:cs="Times New Roman"/>
          <w:lang w:val="lv-LV" w:eastAsia="zh-CN"/>
        </w:rPr>
      </w:pPr>
      <w:r w:rsidRPr="00857912">
        <w:rPr>
          <w:rFonts w:ascii="Times New Roman" w:eastAsia="Times New Roman" w:hAnsi="Times New Roman" w:cs="Times New Roman"/>
          <w:b/>
          <w:bCs/>
          <w:lang w:val="lv-LV" w:eastAsia="zh-CN"/>
        </w:rPr>
        <w:t>Raksturīgās bīstamības:</w:t>
      </w:r>
      <w:r w:rsidRPr="00411082">
        <w:rPr>
          <w:rFonts w:ascii="Times New Roman" w:eastAsia="Times New Roman" w:hAnsi="Times New Roman" w:cs="Times New Roman"/>
          <w:lang w:val="lv-LV" w:eastAsia="zh-CN"/>
        </w:rPr>
        <w:t xml:space="preserve"> </w:t>
      </w:r>
    </w:p>
    <w:tbl>
      <w:tblPr>
        <w:tblStyle w:val="TableGrid"/>
        <w:tblW w:w="0" w:type="auto"/>
        <w:tblLook w:val="04A0" w:firstRow="1" w:lastRow="0" w:firstColumn="1" w:lastColumn="0" w:noHBand="0" w:noVBand="1"/>
      </w:tblPr>
      <w:tblGrid>
        <w:gridCol w:w="1075"/>
        <w:gridCol w:w="7941"/>
      </w:tblGrid>
      <w:tr w:rsidR="00857912" w14:paraId="35D3A37C" w14:textId="77777777" w:rsidTr="34DEC407">
        <w:tc>
          <w:tcPr>
            <w:tcW w:w="1075" w:type="dxa"/>
            <w:tcBorders>
              <w:top w:val="nil"/>
              <w:left w:val="nil"/>
              <w:bottom w:val="nil"/>
              <w:right w:val="nil"/>
            </w:tcBorders>
          </w:tcPr>
          <w:p w14:paraId="0FA44013" w14:textId="77777777" w:rsidR="00857912" w:rsidRDefault="00857912">
            <w:pPr>
              <w:spacing w:before="100" w:beforeAutospacing="1" w:after="100" w:afterAutospacing="1"/>
              <w:jc w:val="both"/>
              <w:rPr>
                <w:rFonts w:eastAsia="Times New Roman"/>
                <w:lang w:eastAsia="zh-CN"/>
              </w:rPr>
            </w:pPr>
            <w:r w:rsidRPr="00447D28">
              <w:rPr>
                <w:noProof/>
              </w:rPr>
              <w:drawing>
                <wp:inline distT="0" distB="0" distL="0" distR="0" wp14:anchorId="1333AE48" wp14:editId="40B1B8A7">
                  <wp:extent cx="514350" cy="514350"/>
                  <wp:effectExtent l="19050" t="0" r="0" b="0"/>
                  <wp:docPr id="7" name="Picture 55" descr="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lammabl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7941" w:type="dxa"/>
            <w:tcBorders>
              <w:top w:val="nil"/>
              <w:left w:val="nil"/>
              <w:bottom w:val="nil"/>
              <w:right w:val="nil"/>
            </w:tcBorders>
          </w:tcPr>
          <w:p w14:paraId="508C6A37" w14:textId="1CDFD8F8" w:rsidR="00857912" w:rsidRPr="004D2A3E" w:rsidRDefault="6832E3A3" w:rsidP="34DEC407">
            <w:pPr>
              <w:spacing w:before="240"/>
              <w:rPr>
                <w:rFonts w:eastAsia="Times New Roman"/>
                <w:lang w:eastAsia="zh-CN"/>
              </w:rPr>
            </w:pPr>
            <w:r w:rsidRPr="00B95AAA">
              <w:rPr>
                <w:rFonts w:eastAsia="Times New Roman"/>
                <w:lang w:eastAsia="zh-CN"/>
              </w:rPr>
              <w:t>H220: Īpaši viegli uzliesmojoša gāze (1. kategorija)</w:t>
            </w:r>
          </w:p>
        </w:tc>
      </w:tr>
      <w:tr w:rsidR="00857912" w14:paraId="2546774A" w14:textId="77777777" w:rsidTr="34DEC407">
        <w:trPr>
          <w:trHeight w:val="862"/>
        </w:trPr>
        <w:tc>
          <w:tcPr>
            <w:tcW w:w="1075" w:type="dxa"/>
            <w:tcBorders>
              <w:top w:val="nil"/>
              <w:left w:val="nil"/>
              <w:bottom w:val="nil"/>
              <w:right w:val="nil"/>
            </w:tcBorders>
          </w:tcPr>
          <w:p w14:paraId="703E61A2" w14:textId="65583968" w:rsidR="00857912" w:rsidRPr="00447D28" w:rsidRDefault="00857912">
            <w:pPr>
              <w:spacing w:before="100" w:beforeAutospacing="1" w:after="100" w:afterAutospacing="1"/>
              <w:jc w:val="both"/>
              <w:rPr>
                <w:noProof/>
              </w:rPr>
            </w:pPr>
            <w:r w:rsidRPr="00447D28">
              <w:rPr>
                <w:noProof/>
              </w:rPr>
              <w:drawing>
                <wp:anchor distT="0" distB="0" distL="114300" distR="114300" simplePos="0" relativeHeight="251658240" behindDoc="0" locked="0" layoutInCell="1" allowOverlap="1" wp14:anchorId="049F321C" wp14:editId="7D19945A">
                  <wp:simplePos x="0" y="0"/>
                  <wp:positionH relativeFrom="column">
                    <wp:posOffset>16949</wp:posOffset>
                  </wp:positionH>
                  <wp:positionV relativeFrom="paragraph">
                    <wp:posOffset>-1270</wp:posOffset>
                  </wp:positionV>
                  <wp:extent cx="514350" cy="514350"/>
                  <wp:effectExtent l="0" t="0" r="0" b="0"/>
                  <wp:wrapNone/>
                  <wp:docPr id="9" name="Picture 235" descr="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bottle"/>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w="9525">
                            <a:noFill/>
                            <a:miter lim="800000"/>
                            <a:headEnd/>
                            <a:tailEnd/>
                          </a:ln>
                        </pic:spPr>
                      </pic:pic>
                    </a:graphicData>
                  </a:graphic>
                </wp:anchor>
              </w:drawing>
            </w:r>
          </w:p>
        </w:tc>
        <w:tc>
          <w:tcPr>
            <w:tcW w:w="7941" w:type="dxa"/>
            <w:tcBorders>
              <w:top w:val="nil"/>
              <w:left w:val="nil"/>
              <w:bottom w:val="nil"/>
              <w:right w:val="nil"/>
            </w:tcBorders>
          </w:tcPr>
          <w:p w14:paraId="0E3F1648" w14:textId="26E99119" w:rsidR="00857912" w:rsidRPr="006A3B57" w:rsidRDefault="6832E3A3" w:rsidP="34DEC407">
            <w:pPr>
              <w:spacing w:before="240"/>
              <w:rPr>
                <w:rFonts w:eastAsia="Times New Roman"/>
                <w:lang w:eastAsia="zh-CN"/>
              </w:rPr>
            </w:pPr>
            <w:r w:rsidRPr="00B95AAA">
              <w:rPr>
                <w:rFonts w:eastAsia="Times New Roman"/>
                <w:lang w:eastAsia="zh-CN"/>
              </w:rPr>
              <w:t>H280: Satur gāzi zem spiediena; karstumā var eksplodēt</w:t>
            </w:r>
          </w:p>
        </w:tc>
      </w:tr>
    </w:tbl>
    <w:p w14:paraId="182A1949" w14:textId="76793DB3" w:rsidR="00E273B2" w:rsidRDefault="00E273B2" w:rsidP="0068104B">
      <w:pPr>
        <w:jc w:val="both"/>
        <w:rPr>
          <w:rFonts w:ascii="Times New Roman" w:eastAsia="Times New Roman" w:hAnsi="Times New Roman" w:cs="Times New Roman"/>
          <w:lang w:val="lv-LV" w:eastAsia="zh-CN"/>
        </w:rPr>
      </w:pPr>
      <w:r w:rsidRPr="000F4E99">
        <w:rPr>
          <w:rFonts w:ascii="Times New Roman" w:eastAsia="Times New Roman" w:hAnsi="Times New Roman" w:cs="Times New Roman"/>
          <w:b/>
          <w:bCs/>
          <w:lang w:val="lv-LV" w:eastAsia="zh-CN"/>
        </w:rPr>
        <w:t>Sekas, ko izraisa vielas iedarbība</w:t>
      </w:r>
      <w:r>
        <w:rPr>
          <w:rFonts w:ascii="Times New Roman" w:eastAsia="Times New Roman" w:hAnsi="Times New Roman" w:cs="Times New Roman"/>
          <w:b/>
          <w:bCs/>
          <w:lang w:val="lv-LV" w:eastAsia="zh-CN"/>
        </w:rPr>
        <w:t xml:space="preserve">: </w:t>
      </w:r>
      <w:r w:rsidRPr="000F4E99">
        <w:rPr>
          <w:rFonts w:ascii="Times New Roman" w:eastAsia="Times New Roman" w:hAnsi="Times New Roman" w:cs="Times New Roman"/>
          <w:lang w:val="lv-LV" w:eastAsia="zh-CN"/>
        </w:rPr>
        <w:t>Ķ</w:t>
      </w:r>
      <w:r w:rsidRPr="00411082">
        <w:rPr>
          <w:rFonts w:ascii="Times New Roman" w:eastAsia="Times New Roman" w:hAnsi="Times New Roman" w:cs="Times New Roman"/>
          <w:lang w:val="lv-LV" w:eastAsia="zh-CN"/>
        </w:rPr>
        <w:t>īmisk</w:t>
      </w:r>
      <w:r>
        <w:rPr>
          <w:rFonts w:ascii="Times New Roman" w:eastAsia="Times New Roman" w:hAnsi="Times New Roman" w:cs="Times New Roman"/>
          <w:lang w:val="lv-LV" w:eastAsia="zh-CN"/>
        </w:rPr>
        <w:t xml:space="preserve">o vielu </w:t>
      </w:r>
      <w:r w:rsidRPr="00411082">
        <w:rPr>
          <w:rFonts w:ascii="Times New Roman" w:eastAsia="Times New Roman" w:hAnsi="Times New Roman" w:cs="Times New Roman"/>
          <w:lang w:val="lv-LV" w:eastAsia="zh-CN"/>
        </w:rPr>
        <w:t xml:space="preserve"> maisījums, vieglāks par gaisu. Galvenā sastāvdaļa - metāns </w:t>
      </w:r>
      <w:r>
        <w:rPr>
          <w:rFonts w:ascii="Times New Roman" w:eastAsia="Times New Roman" w:hAnsi="Times New Roman" w:cs="Times New Roman"/>
          <w:lang w:val="lv-LV" w:eastAsia="zh-CN"/>
        </w:rPr>
        <w:t xml:space="preserve">~ </w:t>
      </w:r>
      <w:r w:rsidRPr="00411082">
        <w:rPr>
          <w:rFonts w:ascii="Times New Roman" w:eastAsia="Times New Roman" w:hAnsi="Times New Roman" w:cs="Times New Roman"/>
          <w:lang w:val="lv-LV" w:eastAsia="zh-CN"/>
        </w:rPr>
        <w:t xml:space="preserve">98% un citas gāzes un savienojumi. </w:t>
      </w:r>
      <w:r>
        <w:rPr>
          <w:rFonts w:ascii="Times New Roman" w:eastAsia="Times New Roman" w:hAnsi="Times New Roman" w:cs="Times New Roman"/>
          <w:lang w:val="lv-LV" w:eastAsia="zh-CN"/>
        </w:rPr>
        <w:t>Dabasgāzes a</w:t>
      </w:r>
      <w:r w:rsidRPr="00411082">
        <w:rPr>
          <w:rFonts w:ascii="Times New Roman" w:eastAsia="Times New Roman" w:hAnsi="Times New Roman" w:cs="Times New Roman"/>
          <w:lang w:val="lv-LV" w:eastAsia="zh-CN"/>
        </w:rPr>
        <w:t xml:space="preserve">r gaisu var veidot sprādzienbīstamu maisījumu. </w:t>
      </w:r>
      <w:r w:rsidR="51B23A46" w:rsidRPr="38CE74B3">
        <w:rPr>
          <w:rFonts w:ascii="Times New Roman" w:eastAsia="Times New Roman" w:hAnsi="Times New Roman" w:cs="Times New Roman"/>
          <w:lang w:val="lv-LV" w:eastAsia="zh-CN"/>
        </w:rPr>
        <w:t>G</w:t>
      </w:r>
      <w:r w:rsidR="00DB500C" w:rsidRPr="38CE74B3">
        <w:rPr>
          <w:rFonts w:ascii="Times New Roman" w:eastAsia="Times New Roman" w:hAnsi="Times New Roman" w:cs="Times New Roman"/>
          <w:lang w:val="lv-LV" w:eastAsia="zh-CN"/>
        </w:rPr>
        <w:t>āzes</w:t>
      </w:r>
      <w:r w:rsidR="00DB500C" w:rsidRPr="00DB500C">
        <w:rPr>
          <w:rFonts w:ascii="Times New Roman" w:eastAsia="Times New Roman" w:hAnsi="Times New Roman" w:cs="Times New Roman"/>
          <w:lang w:val="lv-LV" w:eastAsia="zh-CN"/>
        </w:rPr>
        <w:t xml:space="preserve"> pārvades </w:t>
      </w:r>
      <w:r w:rsidR="416B177C" w:rsidRPr="71B1C1C1">
        <w:rPr>
          <w:rFonts w:ascii="Times New Roman" w:eastAsia="Times New Roman" w:hAnsi="Times New Roman" w:cs="Times New Roman"/>
          <w:lang w:val="lv-LV" w:eastAsia="zh-CN"/>
        </w:rPr>
        <w:t>sistēm</w:t>
      </w:r>
      <w:r w:rsidR="590FB9AF" w:rsidRPr="71B1C1C1">
        <w:rPr>
          <w:rFonts w:ascii="Times New Roman" w:eastAsia="Times New Roman" w:hAnsi="Times New Roman" w:cs="Times New Roman"/>
          <w:lang w:val="lv-LV" w:eastAsia="zh-CN"/>
        </w:rPr>
        <w:t>ā</w:t>
      </w:r>
      <w:r w:rsidR="00DB500C" w:rsidRPr="00DB500C">
        <w:rPr>
          <w:rFonts w:ascii="Times New Roman" w:eastAsia="Times New Roman" w:hAnsi="Times New Roman" w:cs="Times New Roman"/>
          <w:lang w:val="lv-LV" w:eastAsia="zh-CN"/>
        </w:rPr>
        <w:t xml:space="preserve"> dabasgāze ir bez smaržas</w:t>
      </w:r>
      <w:r w:rsidR="2F3368C7" w:rsidRPr="38CE74B3">
        <w:rPr>
          <w:rFonts w:ascii="Times New Roman" w:eastAsia="Times New Roman" w:hAnsi="Times New Roman" w:cs="Times New Roman"/>
          <w:lang w:val="lv-LV" w:eastAsia="zh-CN"/>
        </w:rPr>
        <w:t xml:space="preserve"> un</w:t>
      </w:r>
      <w:r w:rsidR="618C288D" w:rsidRPr="71B1C1C1">
        <w:rPr>
          <w:rFonts w:ascii="Times New Roman" w:eastAsia="Times New Roman" w:hAnsi="Times New Roman" w:cs="Times New Roman"/>
          <w:lang w:val="lv-LV" w:eastAsia="zh-CN"/>
        </w:rPr>
        <w:t>,</w:t>
      </w:r>
      <w:r w:rsidR="00DB500C" w:rsidRPr="00DB500C">
        <w:rPr>
          <w:rFonts w:ascii="Times New Roman" w:eastAsia="Times New Roman" w:hAnsi="Times New Roman" w:cs="Times New Roman"/>
          <w:lang w:val="lv-LV" w:eastAsia="zh-CN"/>
        </w:rPr>
        <w:t xml:space="preserve"> lai dabasgāze būtu sajūtama cilvēkiem, pārvades sistēmas operators veic tās odorizāciju, pievienojot etilmerkaptānu. </w:t>
      </w:r>
      <w:r w:rsidR="1CA73E0D" w:rsidRPr="554FAEFC">
        <w:rPr>
          <w:rFonts w:ascii="Times New Roman" w:eastAsia="Times New Roman" w:hAnsi="Times New Roman" w:cs="Times New Roman"/>
          <w:lang w:val="lv-LV" w:eastAsia="zh-CN"/>
        </w:rPr>
        <w:t xml:space="preserve">Tā </w:t>
      </w:r>
      <w:r w:rsidR="1CC55F38" w:rsidRPr="554FAEFC">
        <w:rPr>
          <w:rFonts w:ascii="Times New Roman" w:eastAsia="Times New Roman" w:hAnsi="Times New Roman" w:cs="Times New Roman"/>
          <w:lang w:val="lv-LV" w:eastAsia="zh-CN"/>
        </w:rPr>
        <w:t>r</w:t>
      </w:r>
      <w:r w:rsidR="38C09A7A" w:rsidRPr="554FAEFC">
        <w:rPr>
          <w:rFonts w:ascii="Times New Roman" w:eastAsia="Times New Roman" w:hAnsi="Times New Roman" w:cs="Times New Roman"/>
          <w:lang w:val="lv-LV" w:eastAsia="zh-CN"/>
        </w:rPr>
        <w:t>ezultātā</w:t>
      </w:r>
      <w:r w:rsidR="00DB500C" w:rsidRPr="00DB500C">
        <w:rPr>
          <w:rFonts w:ascii="Times New Roman" w:eastAsia="Times New Roman" w:hAnsi="Times New Roman" w:cs="Times New Roman"/>
          <w:lang w:val="lv-LV" w:eastAsia="zh-CN"/>
        </w:rPr>
        <w:t xml:space="preserve"> dabasgāze iegūst specifisku smaržu pirms padeves patērētājiem.</w:t>
      </w:r>
    </w:p>
    <w:p w14:paraId="640B1472" w14:textId="3ADAB648" w:rsidR="00E273B2" w:rsidRDefault="00E273B2" w:rsidP="642472B5">
      <w:pPr>
        <w:spacing w:before="100" w:beforeAutospacing="1" w:after="100" w:afterAutospacing="1"/>
        <w:ind w:right="1796"/>
        <w:jc w:val="both"/>
        <w:rPr>
          <w:rFonts w:ascii="Times New Roman" w:eastAsia="Times New Roman" w:hAnsi="Times New Roman" w:cs="Times New Roman"/>
          <w:lang w:val="lv-LV" w:eastAsia="zh-CN"/>
        </w:rPr>
      </w:pPr>
      <w:r w:rsidRPr="00411082">
        <w:rPr>
          <w:rFonts w:ascii="Times New Roman" w:eastAsia="Times New Roman" w:hAnsi="Times New Roman" w:cs="Times New Roman"/>
          <w:b/>
          <w:bCs/>
          <w:lang w:val="lv-LV" w:eastAsia="zh-CN"/>
        </w:rPr>
        <w:t>Simptomi un iedarbības sekas</w:t>
      </w:r>
      <w:r>
        <w:rPr>
          <w:rFonts w:ascii="Times New Roman" w:eastAsia="Times New Roman" w:hAnsi="Times New Roman" w:cs="Times New Roman"/>
          <w:b/>
          <w:bCs/>
          <w:lang w:val="lv-LV" w:eastAsia="zh-CN"/>
        </w:rPr>
        <w:t>:</w:t>
      </w:r>
      <w:r w:rsidRPr="00411082">
        <w:rPr>
          <w:rFonts w:ascii="Times New Roman" w:eastAsia="Times New Roman" w:hAnsi="Times New Roman" w:cs="Times New Roman"/>
          <w:lang w:val="lv-LV" w:eastAsia="zh-CN"/>
        </w:rPr>
        <w:t xml:space="preserve"> </w:t>
      </w:r>
      <w:r w:rsidRPr="002047A1">
        <w:rPr>
          <w:rFonts w:ascii="Times New Roman" w:eastAsia="Times New Roman" w:hAnsi="Times New Roman" w:cs="Times New Roman"/>
          <w:lang w:val="lv-LV" w:eastAsia="zh-CN"/>
        </w:rPr>
        <w:t>Zemā koncentrācijā dabasgāze var izsaukt narkotisku efektu. Kā simptomi var būt reibonis, galvassāpes, nelabums</w:t>
      </w:r>
      <w:r w:rsidR="63698B46" w:rsidRPr="21D9D5D3">
        <w:rPr>
          <w:rFonts w:ascii="Times New Roman" w:eastAsia="Times New Roman" w:hAnsi="Times New Roman" w:cs="Times New Roman"/>
          <w:lang w:val="lv-LV" w:eastAsia="zh-CN"/>
        </w:rPr>
        <w:t xml:space="preserve"> </w:t>
      </w:r>
      <w:r w:rsidRPr="002047A1">
        <w:rPr>
          <w:rFonts w:ascii="Times New Roman" w:eastAsia="Times New Roman" w:hAnsi="Times New Roman" w:cs="Times New Roman"/>
          <w:lang w:val="lv-LV" w:eastAsia="zh-CN"/>
        </w:rPr>
        <w:t>un koordinācijas zudums. Augstā koncentrācijā slēgtās telpās samazināsies ieelpojamā skābekļa daudzums un iespējama dabasgāzes smacējoša iedarbība. Simptomi: kustību traucējumi, bezsamaņa, vemšana. Cietušais var nejust brīdinājuma simptomus par iespējamu nosmakšanu. Parasti cilvēks ieslīgst dziļā miegā (bezsamaņā), kas beidzas ar nāvi.</w:t>
      </w:r>
    </w:p>
    <w:p w14:paraId="33BF2ADA" w14:textId="77777777" w:rsidR="0049640C" w:rsidRPr="00411082" w:rsidRDefault="0049640C" w:rsidP="0049640C">
      <w:pPr>
        <w:spacing w:before="120"/>
        <w:ind w:right="95"/>
        <w:jc w:val="both"/>
        <w:rPr>
          <w:rFonts w:ascii="Times New Roman" w:eastAsia="Times New Roman" w:hAnsi="Times New Roman" w:cs="Times New Roman"/>
          <w:lang w:val="lv-LV" w:eastAsia="zh-CN"/>
        </w:rPr>
      </w:pPr>
      <w:bookmarkStart w:id="0" w:name="_Hlk116915645"/>
    </w:p>
    <w:bookmarkEnd w:id="0"/>
    <w:p w14:paraId="30453F10" w14:textId="55B44843" w:rsidR="00E273B2" w:rsidRDefault="00E273B2" w:rsidP="0080720A">
      <w:pPr>
        <w:pStyle w:val="Default"/>
        <w:spacing w:before="120" w:after="120"/>
        <w:jc w:val="both"/>
        <w:rPr>
          <w:rFonts w:ascii="Times New Roman" w:hAnsi="Times New Roman" w:cs="Times New Roman"/>
          <w:b/>
          <w:bCs/>
          <w:sz w:val="28"/>
          <w:szCs w:val="28"/>
        </w:rPr>
      </w:pPr>
      <w:r w:rsidRPr="00031148">
        <w:rPr>
          <w:rFonts w:ascii="Times New Roman" w:hAnsi="Times New Roman" w:cs="Times New Roman"/>
          <w:b/>
          <w:bCs/>
          <w:sz w:val="28"/>
          <w:szCs w:val="28"/>
        </w:rPr>
        <w:lastRenderedPageBreak/>
        <w:t>Informācija par avārijas bīstamību un riska faktoriem</w:t>
      </w:r>
    </w:p>
    <w:p w14:paraId="5876CE42" w14:textId="77777777" w:rsidR="009836BA" w:rsidRDefault="009836BA" w:rsidP="009836BA">
      <w:pPr>
        <w:pStyle w:val="NormalWeb"/>
        <w:contextualSpacing/>
        <w:jc w:val="both"/>
      </w:pPr>
      <w:r>
        <w:t>Ņemot vērā gāzes īpašības un tās pārvades apstākļus, gāzes noplūde var būt saistīta ar gāzes:</w:t>
      </w:r>
    </w:p>
    <w:p w14:paraId="60D3A68C" w14:textId="77777777" w:rsidR="009836BA" w:rsidRDefault="009836BA" w:rsidP="009836BA">
      <w:pPr>
        <w:pStyle w:val="NormalWeb"/>
        <w:numPr>
          <w:ilvl w:val="0"/>
          <w:numId w:val="10"/>
        </w:numPr>
        <w:contextualSpacing/>
        <w:jc w:val="both"/>
      </w:pPr>
      <w:r>
        <w:t>izplatību atmosfērā bez aizdegšanās;</w:t>
      </w:r>
    </w:p>
    <w:p w14:paraId="32A92A44" w14:textId="3C90114F" w:rsidR="009836BA" w:rsidRDefault="009836BA" w:rsidP="009836BA">
      <w:pPr>
        <w:pStyle w:val="NormalWeb"/>
        <w:numPr>
          <w:ilvl w:val="0"/>
          <w:numId w:val="10"/>
        </w:numPr>
        <w:jc w:val="both"/>
      </w:pPr>
      <w:r>
        <w:t>aizdegšanos ar sekojošu strūklas ugunsgrēku;</w:t>
      </w:r>
    </w:p>
    <w:p w14:paraId="1EC751A4" w14:textId="73006EF5" w:rsidR="009836BA" w:rsidRDefault="009836BA" w:rsidP="009836BA">
      <w:pPr>
        <w:pStyle w:val="NormalWeb"/>
        <w:numPr>
          <w:ilvl w:val="0"/>
          <w:numId w:val="10"/>
        </w:numPr>
        <w:jc w:val="both"/>
      </w:pPr>
      <w:r>
        <w:t>novēlotu</w:t>
      </w:r>
      <w:r w:rsidR="00FF44A7">
        <w:t xml:space="preserve"> </w:t>
      </w:r>
      <w:r>
        <w:t xml:space="preserve">aizdegšanos, kas var attīstīties kā gāzes mākoņa ugunsgrēks vai sprādziens. </w:t>
      </w:r>
    </w:p>
    <w:p w14:paraId="2151304F" w14:textId="5C2CDE1D" w:rsidR="00C35919" w:rsidRPr="00C35919" w:rsidRDefault="00B9624C" w:rsidP="00C35919">
      <w:pPr>
        <w:pStyle w:val="NormalWeb"/>
        <w:jc w:val="both"/>
        <w:rPr>
          <w:bCs/>
        </w:rPr>
      </w:pPr>
      <w:r>
        <w:rPr>
          <w:bCs/>
        </w:rPr>
        <w:t>Dabas</w:t>
      </w:r>
      <w:r w:rsidR="00C35919" w:rsidRPr="00C35919">
        <w:rPr>
          <w:bCs/>
        </w:rPr>
        <w:t xml:space="preserve">gāze ir vieglāka par gaisu, </w:t>
      </w:r>
      <w:r>
        <w:rPr>
          <w:bCs/>
        </w:rPr>
        <w:t xml:space="preserve">tāpēc </w:t>
      </w:r>
      <w:r w:rsidR="00777E90">
        <w:rPr>
          <w:bCs/>
        </w:rPr>
        <w:t>no</w:t>
      </w:r>
      <w:r w:rsidR="00C35919" w:rsidRPr="00C35919">
        <w:rPr>
          <w:bCs/>
        </w:rPr>
        <w:t>plūdes gadījumā tās izplatības virziens būs uz atmosfēras virsējiem</w:t>
      </w:r>
      <w:r w:rsidR="0BA2A097">
        <w:t xml:space="preserve"> slāņ</w:t>
      </w:r>
      <w:r w:rsidR="00C35919">
        <w:t>iem</w:t>
      </w:r>
      <w:r w:rsidR="00C35919" w:rsidRPr="00C35919">
        <w:rPr>
          <w:bCs/>
        </w:rPr>
        <w:t xml:space="preserve">, neveidojot gāzes mākoni zemes līmenī. Izplūdusī gāze var uzkrāties arī norobežotā vidē, piemēram, telpās. </w:t>
      </w:r>
    </w:p>
    <w:p w14:paraId="0517CEF1" w14:textId="2FBA6C0C" w:rsidR="00C35919" w:rsidRPr="00C35919" w:rsidRDefault="00C35919" w:rsidP="00C35919">
      <w:pPr>
        <w:pStyle w:val="NormalWeb"/>
        <w:jc w:val="both"/>
        <w:rPr>
          <w:bCs/>
        </w:rPr>
      </w:pPr>
      <w:r w:rsidRPr="00C35919">
        <w:rPr>
          <w:bCs/>
        </w:rPr>
        <w:t>Tūlītējas aizdegšanās ierosinātāji izplūdes brīdī var būt termiskā iedarbība metāla sairšanas rezultātā vai dzirksteles rašanās abrazīvu materiālu savstarpējā berzē, zem spiediena esošas gāze noplūdes rezultātā.</w:t>
      </w:r>
    </w:p>
    <w:p w14:paraId="7D6A9604" w14:textId="5330614A" w:rsidR="00C35919" w:rsidRPr="00C35919" w:rsidRDefault="00C35919" w:rsidP="00C35919">
      <w:pPr>
        <w:pStyle w:val="NormalWeb"/>
        <w:jc w:val="both"/>
        <w:rPr>
          <w:bCs/>
        </w:rPr>
      </w:pPr>
      <w:r w:rsidRPr="00C35919">
        <w:rPr>
          <w:bCs/>
        </w:rPr>
        <w:t>Novēlotas aizdegšanās rezultātā var notikt izplūdušās gāzes mākoņa ugunsgrēks vai gāzes un gaisa sprādzienbīstamā maisījuma (gāzes augšējais sprādzienbīstamais līmenis ir 15%, bet apakšējais 5%) sprādziens, kuram var sekot arī strūklas ugunsgrēks.</w:t>
      </w:r>
    </w:p>
    <w:p w14:paraId="677813FB" w14:textId="4B9C2C8B" w:rsidR="00C35919" w:rsidRPr="00C35919" w:rsidRDefault="00C35919" w:rsidP="00C35919">
      <w:pPr>
        <w:pStyle w:val="NormalWeb"/>
        <w:jc w:val="both"/>
        <w:rPr>
          <w:bCs/>
        </w:rPr>
      </w:pPr>
      <w:r w:rsidRPr="00C35919">
        <w:rPr>
          <w:bCs/>
        </w:rPr>
        <w:t>Sprādzienbīstama gāzes un gaisa maisījuma aizdegšanos var izsaukt ārējie aizdedzināšanas ierosinātāji, piemēram, jebkura atklātas uguns lietošana u.c</w:t>
      </w:r>
      <w:r w:rsidR="0BA2A097">
        <w:t>.</w:t>
      </w:r>
      <w:r w:rsidR="13A695E6">
        <w:t>,</w:t>
      </w:r>
      <w:r w:rsidRPr="00C35919">
        <w:rPr>
          <w:bCs/>
        </w:rPr>
        <w:t xml:space="preserve"> dzirksteļošanu vai uguni izraisošas darbības sprādzienbīstamā mākoņa izplatības zonā.</w:t>
      </w:r>
    </w:p>
    <w:p w14:paraId="3C8BC68F" w14:textId="58691354" w:rsidR="00416272" w:rsidRPr="00416272" w:rsidRDefault="00416272" w:rsidP="0069727F">
      <w:pPr>
        <w:pStyle w:val="NormalWeb"/>
        <w:jc w:val="both"/>
      </w:pPr>
      <w:r w:rsidRPr="00416272">
        <w:rPr>
          <w:b/>
        </w:rPr>
        <w:t>Dabasgāzes noplūde</w:t>
      </w:r>
      <w:r w:rsidR="00022D1C">
        <w:rPr>
          <w:b/>
        </w:rPr>
        <w:t>s</w:t>
      </w:r>
      <w:r w:rsidRPr="00416272">
        <w:rPr>
          <w:b/>
        </w:rPr>
        <w:t xml:space="preserve"> bez aizdegšan</w:t>
      </w:r>
      <w:r w:rsidR="00FB4DD3">
        <w:rPr>
          <w:b/>
        </w:rPr>
        <w:t>ā</w:t>
      </w:r>
      <w:r w:rsidRPr="00416272">
        <w:rPr>
          <w:b/>
        </w:rPr>
        <w:t>s gadījumā</w:t>
      </w:r>
      <w:r w:rsidRPr="00416272">
        <w:t>, izplūstot dabasgāzei ar lielu spiedienu radīsies ļoti skaļš troksnis (līdzīgs reaktīvai lidmašīnai), kas būs dzirdams lielā attālumā un var rasties</w:t>
      </w:r>
      <w:r w:rsidR="221F1F16">
        <w:t xml:space="preserve"> </w:t>
      </w:r>
      <w:r w:rsidRPr="00416272">
        <w:t xml:space="preserve">arī neatgriezeniski bojājumi gāzesvadam, </w:t>
      </w:r>
      <w:r w:rsidR="221F1F16">
        <w:t>t</w:t>
      </w:r>
      <w:r>
        <w:t>o</w:t>
      </w:r>
      <w:r w:rsidRPr="00416272">
        <w:t xml:space="preserve"> objektiem un apkārtējai videi. Tāpat izveidojas </w:t>
      </w:r>
      <w:r w:rsidR="221F1F16">
        <w:t>sprādzienbīstam</w:t>
      </w:r>
      <w:r>
        <w:t>a</w:t>
      </w:r>
      <w:r w:rsidRPr="00416272">
        <w:t xml:space="preserve"> un ugunsbīstama koncentrācijas zona, </w:t>
      </w:r>
      <w:r w:rsidR="221F1F16">
        <w:t>kur</w:t>
      </w:r>
      <w:r w:rsidRPr="00416272">
        <w:t xml:space="preserve"> jebkurš neliels</w:t>
      </w:r>
      <w:r w:rsidR="221F1F16">
        <w:t xml:space="preserve"> </w:t>
      </w:r>
      <w:r w:rsidRPr="00416272">
        <w:t>enerģijas avots (piemēram, dzirkstele) var izraisīt sprādzienu.</w:t>
      </w:r>
    </w:p>
    <w:p w14:paraId="1C0767FD" w14:textId="2BF7ABDE" w:rsidR="0069727F" w:rsidRDefault="00416272" w:rsidP="0069727F">
      <w:pPr>
        <w:pStyle w:val="NormalWeb"/>
        <w:jc w:val="both"/>
      </w:pPr>
      <w:r w:rsidRPr="00416272">
        <w:rPr>
          <w:b/>
        </w:rPr>
        <w:t>Dabasgāzes noplūde</w:t>
      </w:r>
      <w:r w:rsidR="00022D1C">
        <w:rPr>
          <w:b/>
        </w:rPr>
        <w:t>s</w:t>
      </w:r>
      <w:r w:rsidRPr="00416272">
        <w:rPr>
          <w:b/>
        </w:rPr>
        <w:t xml:space="preserve"> ar aizdegšanos gadījumā</w:t>
      </w:r>
      <w:r w:rsidRPr="00416272">
        <w:t xml:space="preserve"> sagaidāma siltumstarojuma, sadegšanas produktu un dūmu izplatība ugunsgrēka  </w:t>
      </w:r>
      <w:r w:rsidR="34A98068">
        <w:t>izcelšanās vietas</w:t>
      </w:r>
      <w:r w:rsidR="221F1F16">
        <w:t xml:space="preserve"> tuvumā.</w:t>
      </w:r>
    </w:p>
    <w:p w14:paraId="301D5565" w14:textId="719A0F27" w:rsidR="0069727F" w:rsidRDefault="02023428" w:rsidP="0069727F">
      <w:pPr>
        <w:pStyle w:val="NormalWeb"/>
        <w:jc w:val="both"/>
      </w:pPr>
      <w:r w:rsidRPr="0077275D">
        <w:rPr>
          <w:b/>
          <w:bCs/>
        </w:rPr>
        <w:t>Dabas</w:t>
      </w:r>
      <w:r w:rsidR="2DE54D1E" w:rsidRPr="0077275D">
        <w:rPr>
          <w:b/>
          <w:bCs/>
        </w:rPr>
        <w:t>g</w:t>
      </w:r>
      <w:r w:rsidR="221F1F16" w:rsidRPr="0077275D">
        <w:rPr>
          <w:b/>
          <w:bCs/>
        </w:rPr>
        <w:t>āzes</w:t>
      </w:r>
      <w:r w:rsidR="00416272" w:rsidRPr="0077275D">
        <w:rPr>
          <w:b/>
        </w:rPr>
        <w:t xml:space="preserve"> mākoņa sprādziena gadījumā</w:t>
      </w:r>
      <w:r w:rsidR="00416272" w:rsidRPr="00416272">
        <w:t xml:space="preserve"> izplatās pārspiediena vilnis, kas var sagraut ēkas, kā arī apdraudēt cilvēka dzīvību un apkārtējo vidi. Sprādziena radītais iedarbības attālums un radītās sekas atkarīgas no dabasgāzes daudzuma, kas iesaistīts sprādzienā. </w:t>
      </w:r>
    </w:p>
    <w:p w14:paraId="594D399C" w14:textId="37DCE3D6" w:rsidR="00416272" w:rsidRPr="00416272" w:rsidRDefault="00416272" w:rsidP="0069727F">
      <w:pPr>
        <w:pStyle w:val="NormalWeb"/>
        <w:jc w:val="both"/>
      </w:pPr>
      <w:r w:rsidRPr="00416272">
        <w:t xml:space="preserve">Cilvēki var ciest no sprādziena viļņa izraisītas lidojošu priekšmetu iedarbības, kas var izraisīt bojāeju vai rādīt smagus miesas bojājumus. Dabasgāzes pārvades sistēmas gāzesvadam radīsies neatgriezeniski bojājumi. </w:t>
      </w:r>
    </w:p>
    <w:p w14:paraId="02A7F177" w14:textId="79D846CC" w:rsidR="00416272" w:rsidRPr="00416272" w:rsidRDefault="00416272" w:rsidP="005F729F">
      <w:pPr>
        <w:pStyle w:val="NormalWeb"/>
        <w:ind w:right="946"/>
        <w:jc w:val="both"/>
      </w:pPr>
      <w:r w:rsidRPr="00416272">
        <w:t xml:space="preserve">Konstatējot šādas avārijas, </w:t>
      </w:r>
      <w:r w:rsidR="009A7497">
        <w:t>Conexus</w:t>
      </w:r>
      <w:r w:rsidRPr="00416272">
        <w:t xml:space="preserve"> nekavējoties atslēgs bojāto gāzesvada posmu, no cauruļvada izplūdīs vai sadegs tajā atlikušais dabasgāzes daudzums un nekavējoties uzsāks avārijas likvidēšanas darbus.</w:t>
      </w:r>
    </w:p>
    <w:p w14:paraId="5C6712E3" w14:textId="4976941A" w:rsidR="00416272" w:rsidRPr="00416272" w:rsidRDefault="00416272" w:rsidP="0012618D">
      <w:pPr>
        <w:pStyle w:val="NormalWeb"/>
        <w:ind w:right="2080"/>
        <w:jc w:val="both"/>
      </w:pPr>
      <w:r w:rsidRPr="00416272">
        <w:rPr>
          <w:b/>
          <w:bCs/>
        </w:rPr>
        <w:t>Uzmanību!</w:t>
      </w:r>
      <w:r w:rsidRPr="00416272">
        <w:t xml:space="preserve"> Gāzesvada bojājuma gadījumā ar tam sekojošu gāzes degšanu </w:t>
      </w:r>
      <w:r w:rsidR="00115D3A" w:rsidRPr="00515606">
        <w:rPr>
          <w:b/>
          <w:bCs/>
        </w:rPr>
        <w:t>var veidoties cilvēka dzīvībai  bīstama siltumstarojum</w:t>
      </w:r>
      <w:r w:rsidR="3810913F" w:rsidRPr="12C339B8">
        <w:rPr>
          <w:b/>
          <w:bCs/>
        </w:rPr>
        <w:t>a</w:t>
      </w:r>
      <w:r w:rsidR="00115D3A" w:rsidRPr="00515606">
        <w:rPr>
          <w:b/>
          <w:bCs/>
        </w:rPr>
        <w:t xml:space="preserve"> zona (maksimālā 1% letālā iznākuma distance) līdz 200 m</w:t>
      </w:r>
      <w:r w:rsidR="00115D3A" w:rsidRPr="0069727F">
        <w:t xml:space="preserve"> </w:t>
      </w:r>
      <w:r w:rsidR="00115D3A" w:rsidRPr="00F906CC">
        <w:t>ap dabasgāzes noplūdes vietu. Tādēļ steidzami jādodas prom no šīs zonas</w:t>
      </w:r>
      <w:r w:rsidR="00115D3A">
        <w:t>!</w:t>
      </w:r>
    </w:p>
    <w:p w14:paraId="07E96DBC" w14:textId="2905541B" w:rsidR="00E273B2" w:rsidRPr="00134A81" w:rsidRDefault="00E273B2" w:rsidP="000B488E">
      <w:pPr>
        <w:pStyle w:val="Default"/>
        <w:spacing w:before="120" w:after="120"/>
        <w:jc w:val="both"/>
        <w:rPr>
          <w:rFonts w:ascii="Times New Roman" w:hAnsi="Times New Roman" w:cs="Times New Roman"/>
          <w:b/>
          <w:bCs/>
          <w:sz w:val="28"/>
          <w:szCs w:val="28"/>
        </w:rPr>
      </w:pPr>
      <w:r w:rsidRPr="00134A81">
        <w:rPr>
          <w:rFonts w:ascii="Times New Roman" w:hAnsi="Times New Roman" w:cs="Times New Roman"/>
          <w:b/>
          <w:bCs/>
          <w:sz w:val="28"/>
          <w:szCs w:val="28"/>
        </w:rPr>
        <w:lastRenderedPageBreak/>
        <w:t>Rīcība avārijas gadījumā</w:t>
      </w:r>
    </w:p>
    <w:p w14:paraId="4003A323" w14:textId="10AF822B" w:rsidR="00E02DC6" w:rsidRDefault="00E02DC6" w:rsidP="00AF4209">
      <w:pPr>
        <w:pStyle w:val="NormalWeb"/>
        <w:spacing w:before="120" w:beforeAutospacing="0" w:after="120" w:afterAutospacing="0"/>
        <w:jc w:val="both"/>
      </w:pPr>
      <w:r w:rsidRPr="003B77B1">
        <w:t xml:space="preserve">Dzirdot sprādzienu vai dabasgāzes noplūdei ar lielu spiedienu raksturīgo lielo troksni un/vai sajūtot dabasgāzes specifisko smaržu, kas liecina par augstu dabasgāzes koncentrāciju, nepieciešams nekavējoties </w:t>
      </w:r>
      <w:r w:rsidRPr="00FB4CD2">
        <w:t>pārtraukt jebkādu saimniecisko un citu darbību, k</w:t>
      </w:r>
      <w:r>
        <w:t xml:space="preserve">uras </w:t>
      </w:r>
      <w:r w:rsidRPr="00FB4CD2">
        <w:t>rezultātā var rasties dzirksteles</w:t>
      </w:r>
      <w:r>
        <w:t xml:space="preserve"> </w:t>
      </w:r>
      <w:r w:rsidRPr="00937F9D">
        <w:t xml:space="preserve">vai </w:t>
      </w:r>
      <w:r w:rsidR="00147F5C">
        <w:t xml:space="preserve">rasties </w:t>
      </w:r>
      <w:r w:rsidRPr="00937F9D">
        <w:t>ugunsliesm</w:t>
      </w:r>
      <w:r w:rsidR="00147F5C">
        <w:t xml:space="preserve">a </w:t>
      </w:r>
      <w:r>
        <w:t xml:space="preserve">un </w:t>
      </w:r>
      <w:r w:rsidRPr="00FB4CD2">
        <w:t>ziņot par dabasgāzes noplūdi Valsts ugunsdzēsības un glābšanas dienestam pa tālruni 112, nosaucot atrašanās vietu (adresi), dabasgāzes noplūdes iespējamo vietu, savu vārdu, uzvārdu un tālruņa numuru. Ja iespējams, pārliecinieties, ka apkārtējiem ir zināms par avāriju un vai ir skaidrs kā rīkoties</w:t>
      </w:r>
      <w:r>
        <w:t>.</w:t>
      </w:r>
    </w:p>
    <w:p w14:paraId="7C68B7F3" w14:textId="726B2FAC" w:rsidR="00E02DC6" w:rsidRDefault="00E02DC6" w:rsidP="00AF4209">
      <w:pPr>
        <w:autoSpaceDE w:val="0"/>
        <w:autoSpaceDN w:val="0"/>
        <w:adjustRightInd w:val="0"/>
        <w:spacing w:before="120" w:after="120"/>
        <w:contextualSpacing/>
        <w:jc w:val="both"/>
        <w:rPr>
          <w:rFonts w:ascii="Times New Roman" w:hAnsi="Times New Roman" w:cs="Times New Roman"/>
          <w:b/>
          <w:bCs/>
          <w:color w:val="000000"/>
          <w:lang w:val="lv-LV"/>
        </w:rPr>
      </w:pPr>
      <w:r w:rsidRPr="0066378A">
        <w:rPr>
          <w:rFonts w:ascii="Times New Roman" w:hAnsi="Times New Roman" w:cs="Times New Roman"/>
          <w:b/>
          <w:bCs/>
          <w:color w:val="000000"/>
          <w:lang w:val="lv-LV"/>
        </w:rPr>
        <w:t xml:space="preserve">Apkārtējo uzņēmumu un iedzīvotāju brīdināšana par apdraudējumu </w:t>
      </w:r>
    </w:p>
    <w:p w14:paraId="4CFF75B1" w14:textId="37C30068" w:rsidR="003435D2" w:rsidRPr="003B77B1" w:rsidRDefault="003435D2" w:rsidP="00193124">
      <w:pPr>
        <w:pStyle w:val="NormalWeb"/>
        <w:spacing w:before="120" w:beforeAutospacing="0" w:after="120" w:afterAutospacing="0"/>
        <w:jc w:val="both"/>
      </w:pPr>
      <w:r w:rsidRPr="003B77B1">
        <w:t xml:space="preserve">Conexus ir noteikta kārtība, kādā notiek sadarbība ar Valsts ugunsdzēsības un glābšanas dienestu un citiem avārijas (operatīvajiem) dienestiem, tiek veikti reaģēšanas un seku likvidēšanas pasākumi avārijas gadījumā. Avārijas gadījumā tiek apziņotas visas nepieciešamās valsts iestādes, pašvaldības un </w:t>
      </w:r>
      <w:r w:rsidR="005D4FAB" w:rsidRPr="003B77B1">
        <w:t xml:space="preserve">Conexus </w:t>
      </w:r>
      <w:r w:rsidRPr="003B77B1">
        <w:t>personāls.</w:t>
      </w:r>
    </w:p>
    <w:p w14:paraId="4807ACA5" w14:textId="77777777" w:rsidR="001059F8" w:rsidRPr="00863E2A" w:rsidRDefault="001059F8" w:rsidP="00193124">
      <w:pPr>
        <w:autoSpaceDE w:val="0"/>
        <w:autoSpaceDN w:val="0"/>
        <w:adjustRightInd w:val="0"/>
        <w:spacing w:before="120" w:after="120"/>
        <w:jc w:val="both"/>
        <w:rPr>
          <w:rFonts w:ascii="Times New Roman" w:hAnsi="Times New Roman" w:cs="Times New Roman"/>
          <w:b/>
          <w:bCs/>
          <w:lang w:val="lv-LV"/>
        </w:rPr>
      </w:pPr>
      <w:r w:rsidRPr="00863E2A">
        <w:rPr>
          <w:rFonts w:ascii="Times New Roman" w:hAnsi="Times New Roman" w:cs="Times New Roman"/>
          <w:b/>
          <w:bCs/>
          <w:lang w:val="lv-LV"/>
        </w:rPr>
        <w:t>Rīcība saņemot brīdinājumu par avāriju</w:t>
      </w:r>
    </w:p>
    <w:p w14:paraId="5CA26F04" w14:textId="38215DAD" w:rsidR="008703E5" w:rsidRDefault="008703E5" w:rsidP="00193124">
      <w:pPr>
        <w:pStyle w:val="NormalWeb"/>
        <w:spacing w:before="120" w:beforeAutospacing="0" w:after="120" w:afterAutospacing="0"/>
        <w:jc w:val="both"/>
      </w:pPr>
      <w:r>
        <w:t>Ieklausieties Valsts ugunsdzēsības un glābšanas dienesta, Valsts policijas vai Conexus personāla sniegtajos paziņojumos un izpildiet tos.</w:t>
      </w:r>
    </w:p>
    <w:p w14:paraId="7EEBBA01" w14:textId="13A8868F" w:rsidR="00112963" w:rsidRPr="003B77B1" w:rsidRDefault="00112963" w:rsidP="003B77B1">
      <w:pPr>
        <w:pStyle w:val="NormalWeb"/>
        <w:jc w:val="both"/>
      </w:pPr>
      <w:r w:rsidRPr="003B77B1">
        <w:t>Nelietojiet atklātu uguni un neveiciet darbības, kas izraisa dzirksteļošanu vai ugunsliesmu rašanos. Ja iespējams, pārliecinieties, ka apkārtējiem ir zināms par avāriju un ir skaidrs, kā rīkoties.</w:t>
      </w:r>
    </w:p>
    <w:p w14:paraId="344BB63E" w14:textId="77777777" w:rsidR="00112963" w:rsidRPr="003B77B1" w:rsidRDefault="00112963" w:rsidP="003B77B1">
      <w:pPr>
        <w:pStyle w:val="NormalWeb"/>
        <w:jc w:val="both"/>
      </w:pPr>
      <w:r w:rsidRPr="003B77B1">
        <w:t>Rīcība atrodoties telpās - saņemot brīdinājumu par avāriju, aizveriet un noblīvējiet logus, durvis, ventilācijas lūkas, dūmvadus un izslēdziet kondicionierus.</w:t>
      </w:r>
    </w:p>
    <w:p w14:paraId="579B485B" w14:textId="73137635" w:rsidR="00112963" w:rsidRPr="003B77B1" w:rsidRDefault="00112963" w:rsidP="003B77B1">
      <w:pPr>
        <w:pStyle w:val="NormalWeb"/>
        <w:jc w:val="both"/>
      </w:pPr>
      <w:r w:rsidRPr="003B77B1">
        <w:t xml:space="preserve">Rīcība atrodoties ārpus telpām - saņemot brīdinājumu par avāriju, steidzami dodieties projām no bīstamās zonas perpendikulāri vēja virzienam (tā, lai vējš </w:t>
      </w:r>
      <w:r w:rsidR="002A0836">
        <w:t>j</w:t>
      </w:r>
      <w:r w:rsidRPr="003B77B1">
        <w:t>ums pūstu no sāniem).  Ja tas nav iespējams, meklējiet patvērumu tuvākajā ēkā.</w:t>
      </w:r>
    </w:p>
    <w:p w14:paraId="7B33B11C" w14:textId="77777777" w:rsidR="00112963" w:rsidRPr="003B77B1" w:rsidRDefault="00112963" w:rsidP="003B77B1">
      <w:pPr>
        <w:pStyle w:val="NormalWeb"/>
        <w:jc w:val="both"/>
      </w:pPr>
      <w:r w:rsidRPr="00FD22A1">
        <w:t xml:space="preserve">Evakuācija - sabiedrībai informācija par evakuācijas nepieciešamību un tās kārtību tiks paziņota plašsaziņas līdzekļos vai ar glābšanas dienestu vai policijas skaļruņu palīdzību. </w:t>
      </w:r>
      <w:r w:rsidRPr="003B77B1">
        <w:t xml:space="preserve">Evakuācijas gadījumā ņemiet līdzi personas apliecinošus dokumentus, naudu, vērtslietas, pārtikas krājumus un tikai nepieciešamo apģērbu, ja tas ir iespējams. Pirms evakuācijas noslēdziet elektrības padevi, gāzes un ūdens padevi. Paziņojiet kaimiņiem par izziņoto evakuācijas nepieciešamību un palīdziet bērniem, invalīdiem un vecākiem cilvēkiem sagatavoties evakuācijai. </w:t>
      </w:r>
    </w:p>
    <w:p w14:paraId="091E6826" w14:textId="4CAAD094" w:rsidR="00112963" w:rsidRDefault="00112963" w:rsidP="0077275D">
      <w:pPr>
        <w:pStyle w:val="NormalWeb"/>
        <w:ind w:right="1229"/>
        <w:jc w:val="both"/>
      </w:pPr>
      <w:r>
        <w:t xml:space="preserve">Veselības stāvokļa pasliktināšanās gadījumā (galvassāpes, vājums, līdzsvara traucējumi un vemšana) doties uz tuvāko medicīnas iestādi vai, ja </w:t>
      </w:r>
      <w:r w:rsidR="0080242D">
        <w:t>j</w:t>
      </w:r>
      <w:r>
        <w:t>ūsu tuvumā ir cietušie, nekavējoties izsauciet Neatliekamo medicīnisko palīdzības dienestu pa tālruni 113.</w:t>
      </w:r>
    </w:p>
    <w:p w14:paraId="505AB114" w14:textId="77777777" w:rsidR="00E273B2" w:rsidRPr="00795D85" w:rsidRDefault="00E273B2" w:rsidP="00E273B2">
      <w:pPr>
        <w:jc w:val="both"/>
        <w:rPr>
          <w:rFonts w:ascii="Times New Roman" w:hAnsi="Times New Roman" w:cs="Times New Roman"/>
          <w:color w:val="000000"/>
          <w:lang w:val="lv-LV"/>
        </w:rPr>
      </w:pPr>
    </w:p>
    <w:p w14:paraId="5C039198" w14:textId="77777777" w:rsidR="00397EA2" w:rsidRPr="00E273B2" w:rsidRDefault="00397EA2">
      <w:pPr>
        <w:rPr>
          <w:lang w:val="lv-LV"/>
        </w:rPr>
      </w:pPr>
    </w:p>
    <w:sectPr w:rsidR="00397EA2" w:rsidRPr="00E273B2" w:rsidSect="00F36AD4">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BB157" w14:textId="77777777" w:rsidR="00415D39" w:rsidRDefault="00415D39" w:rsidP="00F23EFD">
      <w:r>
        <w:separator/>
      </w:r>
    </w:p>
  </w:endnote>
  <w:endnote w:type="continuationSeparator" w:id="0">
    <w:p w14:paraId="72378BCB" w14:textId="77777777" w:rsidR="00415D39" w:rsidRDefault="00415D39" w:rsidP="00F23EFD">
      <w:r>
        <w:continuationSeparator/>
      </w:r>
    </w:p>
  </w:endnote>
  <w:endnote w:type="continuationNotice" w:id="1">
    <w:p w14:paraId="4C57092A" w14:textId="77777777" w:rsidR="00415D39" w:rsidRDefault="00415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466138"/>
      <w:docPartObj>
        <w:docPartGallery w:val="Page Numbers (Bottom of Page)"/>
        <w:docPartUnique/>
      </w:docPartObj>
    </w:sdtPr>
    <w:sdtEndPr>
      <w:rPr>
        <w:noProof/>
      </w:rPr>
    </w:sdtEndPr>
    <w:sdtContent>
      <w:p w14:paraId="0043AC1D" w14:textId="03592183" w:rsidR="005D2F35" w:rsidRDefault="005D2F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5D6C8" w14:textId="77777777" w:rsidR="00F23EFD" w:rsidRDefault="00F23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6417" w14:textId="77777777" w:rsidR="00415D39" w:rsidRDefault="00415D39" w:rsidP="00F23EFD">
      <w:r>
        <w:separator/>
      </w:r>
    </w:p>
  </w:footnote>
  <w:footnote w:type="continuationSeparator" w:id="0">
    <w:p w14:paraId="75A3C8EC" w14:textId="77777777" w:rsidR="00415D39" w:rsidRDefault="00415D39" w:rsidP="00F23EFD">
      <w:r>
        <w:continuationSeparator/>
      </w:r>
    </w:p>
  </w:footnote>
  <w:footnote w:type="continuationNotice" w:id="1">
    <w:p w14:paraId="28D3A551" w14:textId="77777777" w:rsidR="00415D39" w:rsidRDefault="00415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643BD" w14:textId="77777777" w:rsidR="00F23EFD" w:rsidRDefault="00000000">
    <w:pPr>
      <w:pStyle w:val="Header"/>
    </w:pPr>
    <w:r>
      <w:rPr>
        <w:noProof/>
      </w:rPr>
      <w:pict w14:anchorId="019B8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5" o:spid="_x0000_s1026" type="#_x0000_t75" style="position:absolute;margin-left:0;margin-top:0;width:595.8pt;height:842.4pt;z-index:-251658239;mso-position-horizontal:center;mso-position-horizontal-relative:margin;mso-position-vertical:center;mso-position-vertical-relative:margin" o:allowincell="f">
          <v:imagedata r:id="rId1" o:title="07-a-01"/>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59E8" w14:textId="77777777" w:rsidR="00F23EFD" w:rsidRDefault="00000000">
    <w:pPr>
      <w:pStyle w:val="Header"/>
    </w:pPr>
    <w:r>
      <w:rPr>
        <w:noProof/>
      </w:rPr>
      <w:pict w14:anchorId="46A53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6" o:spid="_x0000_s1027" type="#_x0000_t75" style="position:absolute;margin-left:0;margin-top:0;width:595.8pt;height:842.4pt;z-index:-251658238;mso-position-horizontal:center;mso-position-horizontal-relative:margin;mso-position-vertical:center;mso-position-vertical-relative:margin" o:allowincell="f">
          <v:imagedata r:id="rId1" o:title="07-a-01"/>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EA96" w14:textId="77777777" w:rsidR="00F23EFD" w:rsidRDefault="00000000">
    <w:pPr>
      <w:pStyle w:val="Header"/>
    </w:pPr>
    <w:r>
      <w:rPr>
        <w:noProof/>
      </w:rPr>
      <w:pict w14:anchorId="4B0B2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4" o:spid="_x0000_s1025" type="#_x0000_t75" style="position:absolute;margin-left:0;margin-top:0;width:595.8pt;height:842.4pt;z-index:-251658240;mso-position-horizontal:center;mso-position-horizontal-relative:margin;mso-position-vertical:center;mso-position-vertical-relative:margin" o:allowincell="f">
          <v:imagedata r:id="rId1" o:title="07-a-01"/>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27D0E"/>
    <w:multiLevelType w:val="hybridMultilevel"/>
    <w:tmpl w:val="A7D08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EE29C4"/>
    <w:multiLevelType w:val="hybridMultilevel"/>
    <w:tmpl w:val="1B02713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502B1C"/>
    <w:multiLevelType w:val="hybridMultilevel"/>
    <w:tmpl w:val="0A2466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E71CD5"/>
    <w:multiLevelType w:val="hybridMultilevel"/>
    <w:tmpl w:val="B2D64C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486551"/>
    <w:multiLevelType w:val="hybridMultilevel"/>
    <w:tmpl w:val="78DC1E6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176517"/>
    <w:multiLevelType w:val="hybridMultilevel"/>
    <w:tmpl w:val="ECB0A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E55551E"/>
    <w:multiLevelType w:val="hybridMultilevel"/>
    <w:tmpl w:val="4EB6F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E954D9F"/>
    <w:multiLevelType w:val="hybridMultilevel"/>
    <w:tmpl w:val="04B261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28F4CB6"/>
    <w:multiLevelType w:val="hybridMultilevel"/>
    <w:tmpl w:val="454017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576A26"/>
    <w:multiLevelType w:val="hybridMultilevel"/>
    <w:tmpl w:val="AFB8AADA"/>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35341116">
    <w:abstractNumId w:val="1"/>
  </w:num>
  <w:num w:numId="2" w16cid:durableId="1852527271">
    <w:abstractNumId w:val="6"/>
  </w:num>
  <w:num w:numId="3" w16cid:durableId="550730258">
    <w:abstractNumId w:val="5"/>
  </w:num>
  <w:num w:numId="4" w16cid:durableId="1173716106">
    <w:abstractNumId w:val="4"/>
  </w:num>
  <w:num w:numId="5" w16cid:durableId="80025504">
    <w:abstractNumId w:val="0"/>
  </w:num>
  <w:num w:numId="6" w16cid:durableId="2138065487">
    <w:abstractNumId w:val="3"/>
  </w:num>
  <w:num w:numId="7" w16cid:durableId="1387144850">
    <w:abstractNumId w:val="8"/>
  </w:num>
  <w:num w:numId="8" w16cid:durableId="1890997475">
    <w:abstractNumId w:val="9"/>
  </w:num>
  <w:num w:numId="9" w16cid:durableId="902836828">
    <w:abstractNumId w:val="2"/>
  </w:num>
  <w:num w:numId="10" w16cid:durableId="104190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B2"/>
    <w:rsid w:val="00022D1C"/>
    <w:rsid w:val="00030F29"/>
    <w:rsid w:val="0005792C"/>
    <w:rsid w:val="00077785"/>
    <w:rsid w:val="00084C91"/>
    <w:rsid w:val="00086100"/>
    <w:rsid w:val="00095253"/>
    <w:rsid w:val="000A480B"/>
    <w:rsid w:val="000A615D"/>
    <w:rsid w:val="000B488E"/>
    <w:rsid w:val="000B5520"/>
    <w:rsid w:val="000C1BB8"/>
    <w:rsid w:val="000D106C"/>
    <w:rsid w:val="000D5360"/>
    <w:rsid w:val="000D61C7"/>
    <w:rsid w:val="000E5194"/>
    <w:rsid w:val="000F5E69"/>
    <w:rsid w:val="001059F8"/>
    <w:rsid w:val="00112963"/>
    <w:rsid w:val="00115D3A"/>
    <w:rsid w:val="0012618D"/>
    <w:rsid w:val="001347B1"/>
    <w:rsid w:val="00147E88"/>
    <w:rsid w:val="00147F5C"/>
    <w:rsid w:val="00151958"/>
    <w:rsid w:val="00167416"/>
    <w:rsid w:val="00171707"/>
    <w:rsid w:val="00176741"/>
    <w:rsid w:val="00182983"/>
    <w:rsid w:val="001925ED"/>
    <w:rsid w:val="00193124"/>
    <w:rsid w:val="001968DD"/>
    <w:rsid w:val="001D6A7D"/>
    <w:rsid w:val="001E387D"/>
    <w:rsid w:val="001E7134"/>
    <w:rsid w:val="001F3F69"/>
    <w:rsid w:val="00221A27"/>
    <w:rsid w:val="0022308A"/>
    <w:rsid w:val="00227BB2"/>
    <w:rsid w:val="00232925"/>
    <w:rsid w:val="00243B56"/>
    <w:rsid w:val="002743A9"/>
    <w:rsid w:val="00281CEF"/>
    <w:rsid w:val="002A0836"/>
    <w:rsid w:val="002E3A7A"/>
    <w:rsid w:val="002F5DD5"/>
    <w:rsid w:val="003435D2"/>
    <w:rsid w:val="00344276"/>
    <w:rsid w:val="00345B72"/>
    <w:rsid w:val="003503DF"/>
    <w:rsid w:val="00393354"/>
    <w:rsid w:val="00397EA2"/>
    <w:rsid w:val="003B77B1"/>
    <w:rsid w:val="003E059B"/>
    <w:rsid w:val="003E26D2"/>
    <w:rsid w:val="003F5018"/>
    <w:rsid w:val="00415D39"/>
    <w:rsid w:val="00416272"/>
    <w:rsid w:val="004259A6"/>
    <w:rsid w:val="00483198"/>
    <w:rsid w:val="004957E9"/>
    <w:rsid w:val="0049640C"/>
    <w:rsid w:val="004A18EB"/>
    <w:rsid w:val="004B24D5"/>
    <w:rsid w:val="004B5852"/>
    <w:rsid w:val="004C0B81"/>
    <w:rsid w:val="004C6CDC"/>
    <w:rsid w:val="004D5B78"/>
    <w:rsid w:val="004E5D75"/>
    <w:rsid w:val="004E6FE8"/>
    <w:rsid w:val="00515606"/>
    <w:rsid w:val="00536280"/>
    <w:rsid w:val="005573D8"/>
    <w:rsid w:val="00586953"/>
    <w:rsid w:val="005B1E98"/>
    <w:rsid w:val="005B6F94"/>
    <w:rsid w:val="005D2F35"/>
    <w:rsid w:val="005D4FAB"/>
    <w:rsid w:val="005F729F"/>
    <w:rsid w:val="00601AF1"/>
    <w:rsid w:val="0061240B"/>
    <w:rsid w:val="00614C61"/>
    <w:rsid w:val="006212E7"/>
    <w:rsid w:val="00624536"/>
    <w:rsid w:val="00630E5A"/>
    <w:rsid w:val="00633062"/>
    <w:rsid w:val="0063643D"/>
    <w:rsid w:val="00643A18"/>
    <w:rsid w:val="00644AF5"/>
    <w:rsid w:val="006509F8"/>
    <w:rsid w:val="00653372"/>
    <w:rsid w:val="00673FFB"/>
    <w:rsid w:val="006771F4"/>
    <w:rsid w:val="0068104B"/>
    <w:rsid w:val="00682F9F"/>
    <w:rsid w:val="00694B48"/>
    <w:rsid w:val="0069727F"/>
    <w:rsid w:val="006B585A"/>
    <w:rsid w:val="006C34F2"/>
    <w:rsid w:val="006D012F"/>
    <w:rsid w:val="006D13D9"/>
    <w:rsid w:val="006D1E24"/>
    <w:rsid w:val="006D650D"/>
    <w:rsid w:val="0070653F"/>
    <w:rsid w:val="00707BB7"/>
    <w:rsid w:val="0071071C"/>
    <w:rsid w:val="00716EE8"/>
    <w:rsid w:val="007362E2"/>
    <w:rsid w:val="00742FD2"/>
    <w:rsid w:val="0077275D"/>
    <w:rsid w:val="00777E90"/>
    <w:rsid w:val="007807EC"/>
    <w:rsid w:val="007830EE"/>
    <w:rsid w:val="0078408A"/>
    <w:rsid w:val="0079757F"/>
    <w:rsid w:val="007A27EF"/>
    <w:rsid w:val="007B2228"/>
    <w:rsid w:val="007B7114"/>
    <w:rsid w:val="007B7163"/>
    <w:rsid w:val="007C17F4"/>
    <w:rsid w:val="007C32E9"/>
    <w:rsid w:val="007D00CB"/>
    <w:rsid w:val="007D4707"/>
    <w:rsid w:val="007E3FE7"/>
    <w:rsid w:val="007F0493"/>
    <w:rsid w:val="0080242D"/>
    <w:rsid w:val="0080720A"/>
    <w:rsid w:val="00807F2D"/>
    <w:rsid w:val="00822ADE"/>
    <w:rsid w:val="008235CB"/>
    <w:rsid w:val="008243CF"/>
    <w:rsid w:val="00832FC7"/>
    <w:rsid w:val="008378BC"/>
    <w:rsid w:val="00857912"/>
    <w:rsid w:val="00867120"/>
    <w:rsid w:val="008703E5"/>
    <w:rsid w:val="00886DAA"/>
    <w:rsid w:val="00894CDB"/>
    <w:rsid w:val="008C4CA6"/>
    <w:rsid w:val="008E162E"/>
    <w:rsid w:val="00903217"/>
    <w:rsid w:val="009131D6"/>
    <w:rsid w:val="00924A2C"/>
    <w:rsid w:val="00937F9D"/>
    <w:rsid w:val="00945466"/>
    <w:rsid w:val="00952440"/>
    <w:rsid w:val="00955852"/>
    <w:rsid w:val="009836BA"/>
    <w:rsid w:val="009A7497"/>
    <w:rsid w:val="009C147D"/>
    <w:rsid w:val="009D0263"/>
    <w:rsid w:val="009D2A7E"/>
    <w:rsid w:val="009F1217"/>
    <w:rsid w:val="00A15E8F"/>
    <w:rsid w:val="00A17424"/>
    <w:rsid w:val="00A31BA6"/>
    <w:rsid w:val="00A47BC7"/>
    <w:rsid w:val="00A56A75"/>
    <w:rsid w:val="00A8034E"/>
    <w:rsid w:val="00A8113D"/>
    <w:rsid w:val="00A93950"/>
    <w:rsid w:val="00A943CE"/>
    <w:rsid w:val="00AA2A62"/>
    <w:rsid w:val="00AB02D1"/>
    <w:rsid w:val="00AB665C"/>
    <w:rsid w:val="00AB7E2D"/>
    <w:rsid w:val="00AC07FA"/>
    <w:rsid w:val="00AC7152"/>
    <w:rsid w:val="00AD3C1C"/>
    <w:rsid w:val="00AF4209"/>
    <w:rsid w:val="00AF42F8"/>
    <w:rsid w:val="00AF77F9"/>
    <w:rsid w:val="00B01202"/>
    <w:rsid w:val="00B02113"/>
    <w:rsid w:val="00B55497"/>
    <w:rsid w:val="00B65A3F"/>
    <w:rsid w:val="00B94FC1"/>
    <w:rsid w:val="00B95AAA"/>
    <w:rsid w:val="00B9624C"/>
    <w:rsid w:val="00BB2769"/>
    <w:rsid w:val="00BC177D"/>
    <w:rsid w:val="00BC4AC6"/>
    <w:rsid w:val="00BC54B1"/>
    <w:rsid w:val="00BF176A"/>
    <w:rsid w:val="00BF4AD4"/>
    <w:rsid w:val="00C075D9"/>
    <w:rsid w:val="00C108FD"/>
    <w:rsid w:val="00C3126B"/>
    <w:rsid w:val="00C35919"/>
    <w:rsid w:val="00C52190"/>
    <w:rsid w:val="00C607A6"/>
    <w:rsid w:val="00C74995"/>
    <w:rsid w:val="00C756CC"/>
    <w:rsid w:val="00C92CD8"/>
    <w:rsid w:val="00CA72F1"/>
    <w:rsid w:val="00CC0463"/>
    <w:rsid w:val="00CC4753"/>
    <w:rsid w:val="00CC6995"/>
    <w:rsid w:val="00CD2363"/>
    <w:rsid w:val="00CD7A1E"/>
    <w:rsid w:val="00CE14AF"/>
    <w:rsid w:val="00CF0509"/>
    <w:rsid w:val="00D02487"/>
    <w:rsid w:val="00D4408B"/>
    <w:rsid w:val="00D44608"/>
    <w:rsid w:val="00D522D0"/>
    <w:rsid w:val="00D52C0D"/>
    <w:rsid w:val="00D52F51"/>
    <w:rsid w:val="00D9474B"/>
    <w:rsid w:val="00DB070F"/>
    <w:rsid w:val="00DB500C"/>
    <w:rsid w:val="00DC1BC9"/>
    <w:rsid w:val="00DD6729"/>
    <w:rsid w:val="00DD6F57"/>
    <w:rsid w:val="00DD7ED4"/>
    <w:rsid w:val="00DF0D70"/>
    <w:rsid w:val="00E02DC6"/>
    <w:rsid w:val="00E14B59"/>
    <w:rsid w:val="00E15EA1"/>
    <w:rsid w:val="00E273B2"/>
    <w:rsid w:val="00E77B5F"/>
    <w:rsid w:val="00E80512"/>
    <w:rsid w:val="00E81743"/>
    <w:rsid w:val="00E8320B"/>
    <w:rsid w:val="00EA7C32"/>
    <w:rsid w:val="00EB4D95"/>
    <w:rsid w:val="00EB7C7A"/>
    <w:rsid w:val="00EC17E5"/>
    <w:rsid w:val="00EC5FE6"/>
    <w:rsid w:val="00ED0D69"/>
    <w:rsid w:val="00EF2CE7"/>
    <w:rsid w:val="00F11872"/>
    <w:rsid w:val="00F23EFD"/>
    <w:rsid w:val="00F3412D"/>
    <w:rsid w:val="00F36AD4"/>
    <w:rsid w:val="00F40081"/>
    <w:rsid w:val="00F444D5"/>
    <w:rsid w:val="00F46121"/>
    <w:rsid w:val="00F80F44"/>
    <w:rsid w:val="00F8617D"/>
    <w:rsid w:val="00F9386D"/>
    <w:rsid w:val="00F961AD"/>
    <w:rsid w:val="00FA0F8F"/>
    <w:rsid w:val="00FA6063"/>
    <w:rsid w:val="00FA67B5"/>
    <w:rsid w:val="00FB0C90"/>
    <w:rsid w:val="00FB4CD2"/>
    <w:rsid w:val="00FB4DD3"/>
    <w:rsid w:val="00FB6E37"/>
    <w:rsid w:val="00FF44A7"/>
    <w:rsid w:val="01B27BD5"/>
    <w:rsid w:val="02023428"/>
    <w:rsid w:val="02F22623"/>
    <w:rsid w:val="03B09967"/>
    <w:rsid w:val="0444B739"/>
    <w:rsid w:val="049BD75C"/>
    <w:rsid w:val="04C44252"/>
    <w:rsid w:val="04CCF926"/>
    <w:rsid w:val="04DE3E95"/>
    <w:rsid w:val="058BADAF"/>
    <w:rsid w:val="0BA2A097"/>
    <w:rsid w:val="0F57EB40"/>
    <w:rsid w:val="1032C38B"/>
    <w:rsid w:val="116412D5"/>
    <w:rsid w:val="118723B3"/>
    <w:rsid w:val="12C339B8"/>
    <w:rsid w:val="1324D5E6"/>
    <w:rsid w:val="13A695E6"/>
    <w:rsid w:val="16CF188B"/>
    <w:rsid w:val="16CF402D"/>
    <w:rsid w:val="16F50FA7"/>
    <w:rsid w:val="1742BD6A"/>
    <w:rsid w:val="179C859D"/>
    <w:rsid w:val="17B78D10"/>
    <w:rsid w:val="17E0806D"/>
    <w:rsid w:val="1929AADD"/>
    <w:rsid w:val="19A25DE4"/>
    <w:rsid w:val="1C5D2852"/>
    <w:rsid w:val="1C5FB808"/>
    <w:rsid w:val="1CA73E0D"/>
    <w:rsid w:val="1CC55F38"/>
    <w:rsid w:val="1D83D27C"/>
    <w:rsid w:val="20AB4EE4"/>
    <w:rsid w:val="211B628F"/>
    <w:rsid w:val="21540C3D"/>
    <w:rsid w:val="21D9D5D3"/>
    <w:rsid w:val="22127F81"/>
    <w:rsid w:val="221F1F16"/>
    <w:rsid w:val="226390E0"/>
    <w:rsid w:val="25A350FE"/>
    <w:rsid w:val="26B6F9E9"/>
    <w:rsid w:val="2771E158"/>
    <w:rsid w:val="281F0F2D"/>
    <w:rsid w:val="29D347F6"/>
    <w:rsid w:val="29F5BDE8"/>
    <w:rsid w:val="2C25BE4D"/>
    <w:rsid w:val="2CBA0973"/>
    <w:rsid w:val="2CE24198"/>
    <w:rsid w:val="2DC1E629"/>
    <w:rsid w:val="2DE54D1E"/>
    <w:rsid w:val="2F3368C7"/>
    <w:rsid w:val="2F801A6B"/>
    <w:rsid w:val="2F9717B9"/>
    <w:rsid w:val="32D5DBB8"/>
    <w:rsid w:val="332FA3EB"/>
    <w:rsid w:val="33830250"/>
    <w:rsid w:val="34434CD6"/>
    <w:rsid w:val="34A98068"/>
    <w:rsid w:val="34DEC407"/>
    <w:rsid w:val="3676EBED"/>
    <w:rsid w:val="3810913F"/>
    <w:rsid w:val="387755A8"/>
    <w:rsid w:val="38AE992F"/>
    <w:rsid w:val="38C09A7A"/>
    <w:rsid w:val="38CE74B3"/>
    <w:rsid w:val="39BA25D2"/>
    <w:rsid w:val="39E7A59C"/>
    <w:rsid w:val="3A022EBF"/>
    <w:rsid w:val="3AD8CE41"/>
    <w:rsid w:val="3BAADC4D"/>
    <w:rsid w:val="3D393809"/>
    <w:rsid w:val="3DDA14C0"/>
    <w:rsid w:val="3DF7AB4D"/>
    <w:rsid w:val="3E79DE76"/>
    <w:rsid w:val="3FBA84E3"/>
    <w:rsid w:val="416B177C"/>
    <w:rsid w:val="442E6FF3"/>
    <w:rsid w:val="45649588"/>
    <w:rsid w:val="45B5A6E7"/>
    <w:rsid w:val="46342080"/>
    <w:rsid w:val="46474F7A"/>
    <w:rsid w:val="485392B3"/>
    <w:rsid w:val="49151B27"/>
    <w:rsid w:val="493961D5"/>
    <w:rsid w:val="4B6D00EC"/>
    <w:rsid w:val="4B9E453E"/>
    <w:rsid w:val="4C80A9D7"/>
    <w:rsid w:val="4D46D7D0"/>
    <w:rsid w:val="500C1F7A"/>
    <w:rsid w:val="50D316C1"/>
    <w:rsid w:val="510F56DC"/>
    <w:rsid w:val="51275049"/>
    <w:rsid w:val="51475487"/>
    <w:rsid w:val="51B23A46"/>
    <w:rsid w:val="51E0B484"/>
    <w:rsid w:val="5296DCCC"/>
    <w:rsid w:val="52D23072"/>
    <w:rsid w:val="52FE31D5"/>
    <w:rsid w:val="554F875A"/>
    <w:rsid w:val="554FAEFC"/>
    <w:rsid w:val="5561C3C6"/>
    <w:rsid w:val="55DB401B"/>
    <w:rsid w:val="5682B611"/>
    <w:rsid w:val="56C6B0E1"/>
    <w:rsid w:val="579562DD"/>
    <w:rsid w:val="58CD5276"/>
    <w:rsid w:val="590FB9AF"/>
    <w:rsid w:val="5B62A746"/>
    <w:rsid w:val="5B929A20"/>
    <w:rsid w:val="5CA618B8"/>
    <w:rsid w:val="5E40B1AB"/>
    <w:rsid w:val="5E57AEF9"/>
    <w:rsid w:val="5FA0101B"/>
    <w:rsid w:val="603F7C0E"/>
    <w:rsid w:val="6149C154"/>
    <w:rsid w:val="618C288D"/>
    <w:rsid w:val="62395662"/>
    <w:rsid w:val="63698B46"/>
    <w:rsid w:val="63C2575A"/>
    <w:rsid w:val="642472B5"/>
    <w:rsid w:val="64888553"/>
    <w:rsid w:val="662DD6D1"/>
    <w:rsid w:val="67747D93"/>
    <w:rsid w:val="67BF8E9D"/>
    <w:rsid w:val="67CFCD55"/>
    <w:rsid w:val="6832E3A3"/>
    <w:rsid w:val="68347866"/>
    <w:rsid w:val="68DBEE5C"/>
    <w:rsid w:val="6AE1C6A3"/>
    <w:rsid w:val="6C189E9D"/>
    <w:rsid w:val="6DA6DB7C"/>
    <w:rsid w:val="6E04C7F7"/>
    <w:rsid w:val="70DD928F"/>
    <w:rsid w:val="71A70B48"/>
    <w:rsid w:val="71B1C1C1"/>
    <w:rsid w:val="73F9830E"/>
    <w:rsid w:val="74616CE3"/>
    <w:rsid w:val="749EA91D"/>
    <w:rsid w:val="765047DC"/>
    <w:rsid w:val="76939D47"/>
    <w:rsid w:val="76E2B9BD"/>
    <w:rsid w:val="778BE47B"/>
    <w:rsid w:val="7C076F10"/>
    <w:rsid w:val="7C61CFB6"/>
    <w:rsid w:val="7F1A31AC"/>
    <w:rsid w:val="7F4196B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35B9"/>
  <w15:chartTrackingRefBased/>
  <w15:docId w15:val="{40F20EC8-BBD6-4299-8A28-C39EC38B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lv-LV"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3B2"/>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CD7A1E"/>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CD7A1E"/>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CD7A1E"/>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CD7A1E"/>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CD7A1E"/>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D7A1E"/>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D7A1E"/>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CD7A1E"/>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CD7A1E"/>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A1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CD7A1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CD7A1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CD7A1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CD7A1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CD7A1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CD7A1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D7A1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CD7A1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CD7A1E"/>
    <w:rPr>
      <w:b/>
      <w:bCs/>
      <w:color w:val="ED7D31" w:themeColor="accent2"/>
      <w:spacing w:val="10"/>
      <w:sz w:val="16"/>
      <w:szCs w:val="16"/>
    </w:rPr>
  </w:style>
  <w:style w:type="paragraph" w:styleId="Title">
    <w:name w:val="Title"/>
    <w:basedOn w:val="Normal"/>
    <w:next w:val="Normal"/>
    <w:link w:val="TitleChar"/>
    <w:uiPriority w:val="10"/>
    <w:qFormat/>
    <w:rsid w:val="00CD7A1E"/>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CD7A1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CD7A1E"/>
    <w:pPr>
      <w:numPr>
        <w:ilvl w:val="1"/>
      </w:numPr>
      <w:spacing w:after="240"/>
    </w:pPr>
    <w:rPr>
      <w:color w:val="000000" w:themeColor="text1"/>
    </w:rPr>
  </w:style>
  <w:style w:type="character" w:customStyle="1" w:styleId="SubtitleChar">
    <w:name w:val="Subtitle Char"/>
    <w:basedOn w:val="DefaultParagraphFont"/>
    <w:link w:val="Subtitle"/>
    <w:uiPriority w:val="11"/>
    <w:rsid w:val="00CD7A1E"/>
    <w:rPr>
      <w:color w:val="000000" w:themeColor="text1"/>
      <w:sz w:val="24"/>
      <w:szCs w:val="24"/>
    </w:rPr>
  </w:style>
  <w:style w:type="character" w:styleId="Strong">
    <w:name w:val="Strong"/>
    <w:basedOn w:val="DefaultParagraphFont"/>
    <w:uiPriority w:val="22"/>
    <w:qFormat/>
    <w:rsid w:val="00CD7A1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CD7A1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CD7A1E"/>
    <w:pPr>
      <w:spacing w:after="0" w:line="240" w:lineRule="auto"/>
    </w:pPr>
  </w:style>
  <w:style w:type="paragraph" w:styleId="Quote">
    <w:name w:val="Quote"/>
    <w:basedOn w:val="Normal"/>
    <w:next w:val="Normal"/>
    <w:link w:val="QuoteChar"/>
    <w:uiPriority w:val="29"/>
    <w:qFormat/>
    <w:rsid w:val="00CD7A1E"/>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CD7A1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CD7A1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CD7A1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CD7A1E"/>
    <w:rPr>
      <w:i/>
      <w:iCs/>
      <w:color w:val="auto"/>
    </w:rPr>
  </w:style>
  <w:style w:type="character" w:styleId="IntenseEmphasis">
    <w:name w:val="Intense Emphasis"/>
    <w:basedOn w:val="DefaultParagraphFont"/>
    <w:uiPriority w:val="21"/>
    <w:qFormat/>
    <w:rsid w:val="00CD7A1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CD7A1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CD7A1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CD7A1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CD7A1E"/>
    <w:pPr>
      <w:outlineLvl w:val="9"/>
    </w:pPr>
  </w:style>
  <w:style w:type="paragraph" w:styleId="Header">
    <w:name w:val="header"/>
    <w:basedOn w:val="Normal"/>
    <w:link w:val="HeaderChar"/>
    <w:uiPriority w:val="99"/>
    <w:unhideWhenUsed/>
    <w:rsid w:val="00F23EFD"/>
    <w:pPr>
      <w:tabs>
        <w:tab w:val="center" w:pos="4513"/>
        <w:tab w:val="right" w:pos="9026"/>
      </w:tabs>
    </w:pPr>
  </w:style>
  <w:style w:type="character" w:customStyle="1" w:styleId="HeaderChar">
    <w:name w:val="Header Char"/>
    <w:basedOn w:val="DefaultParagraphFont"/>
    <w:link w:val="Header"/>
    <w:uiPriority w:val="99"/>
    <w:rsid w:val="00F23EFD"/>
  </w:style>
  <w:style w:type="paragraph" w:styleId="Footer">
    <w:name w:val="footer"/>
    <w:basedOn w:val="Normal"/>
    <w:link w:val="FooterChar"/>
    <w:uiPriority w:val="99"/>
    <w:unhideWhenUsed/>
    <w:rsid w:val="00F23EFD"/>
    <w:pPr>
      <w:tabs>
        <w:tab w:val="center" w:pos="4513"/>
        <w:tab w:val="right" w:pos="9026"/>
      </w:tabs>
    </w:pPr>
  </w:style>
  <w:style w:type="character" w:customStyle="1" w:styleId="FooterChar">
    <w:name w:val="Footer Char"/>
    <w:basedOn w:val="DefaultParagraphFont"/>
    <w:link w:val="Footer"/>
    <w:uiPriority w:val="99"/>
    <w:rsid w:val="00F23EFD"/>
  </w:style>
  <w:style w:type="table" w:styleId="TableGrid">
    <w:name w:val="Table Grid"/>
    <w:basedOn w:val="TableNormal"/>
    <w:uiPriority w:val="39"/>
    <w:rsid w:val="00E273B2"/>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E273B2"/>
    <w:pPr>
      <w:ind w:left="720"/>
    </w:pPr>
    <w:rPr>
      <w:rFonts w:ascii="Times New Roman" w:eastAsia="Times New Roman" w:hAnsi="Times New Roman" w:cs="Times New Roman"/>
      <w:lang w:val="lv-LV"/>
    </w:rPr>
  </w:style>
  <w:style w:type="character" w:styleId="Hyperlink">
    <w:name w:val="Hyperlink"/>
    <w:basedOn w:val="DefaultParagraphFont"/>
    <w:uiPriority w:val="99"/>
    <w:unhideWhenUsed/>
    <w:rsid w:val="00E273B2"/>
    <w:rPr>
      <w:color w:val="0563C1" w:themeColor="hyperlink"/>
      <w:u w:val="single"/>
    </w:rPr>
  </w:style>
  <w:style w:type="paragraph" w:customStyle="1" w:styleId="Default">
    <w:name w:val="Default"/>
    <w:rsid w:val="00E273B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E273B2"/>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73B2"/>
    <w:pPr>
      <w:spacing w:before="100" w:beforeAutospacing="1" w:after="100" w:afterAutospacing="1"/>
    </w:pPr>
    <w:rPr>
      <w:rFonts w:ascii="Times New Roman" w:eastAsia="Times New Roman" w:hAnsi="Times New Roman" w:cs="Times New Roman"/>
      <w:lang w:val="lv-LV" w:eastAsia="zh-CN"/>
    </w:rPr>
  </w:style>
  <w:style w:type="paragraph" w:styleId="Revision">
    <w:name w:val="Revision"/>
    <w:hidden/>
    <w:uiPriority w:val="99"/>
    <w:semiHidden/>
    <w:rsid w:val="004C0B81"/>
    <w:pPr>
      <w:spacing w:after="0" w:line="240" w:lineRule="auto"/>
    </w:pPr>
    <w:rPr>
      <w:rFonts w:eastAsiaTheme="minorEastAsia"/>
      <w:sz w:val="24"/>
      <w:szCs w:val="24"/>
      <w:lang w:val="en-US"/>
    </w:rPr>
  </w:style>
  <w:style w:type="paragraph" w:styleId="CommentText">
    <w:name w:val="annotation text"/>
    <w:basedOn w:val="Normal"/>
    <w:link w:val="CommentTextChar"/>
    <w:uiPriority w:val="99"/>
    <w:semiHidden/>
    <w:unhideWhenUsed/>
    <w:rsid w:val="00624536"/>
    <w:rPr>
      <w:sz w:val="20"/>
      <w:szCs w:val="20"/>
    </w:rPr>
  </w:style>
  <w:style w:type="character" w:customStyle="1" w:styleId="CommentTextChar">
    <w:name w:val="Comment Text Char"/>
    <w:basedOn w:val="DefaultParagraphFont"/>
    <w:link w:val="CommentText"/>
    <w:uiPriority w:val="99"/>
    <w:semiHidden/>
    <w:rsid w:val="00624536"/>
    <w:rPr>
      <w:rFonts w:eastAsiaTheme="minorEastAsia"/>
      <w:sz w:val="20"/>
      <w:szCs w:val="20"/>
      <w:lang w:val="en-US"/>
    </w:rPr>
  </w:style>
  <w:style w:type="character" w:styleId="CommentReference">
    <w:name w:val="annotation reference"/>
    <w:basedOn w:val="DefaultParagraphFont"/>
    <w:uiPriority w:val="99"/>
    <w:semiHidden/>
    <w:unhideWhenUsed/>
    <w:rsid w:val="006245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8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exus.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onexus.l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omunikacijas%20dala%20-%20materiali\WORD%20templeiti\templ-new4.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A1EE-6B2C-43B0-9E12-892CD3AB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templ-new4.dotx</Template>
  <TotalTime>9</TotalTime>
  <Pages>4</Pages>
  <Words>5360</Words>
  <Characters>3056</Characters>
  <Application>Microsoft Office Word</Application>
  <DocSecurity>0</DocSecurity>
  <Lines>25</Lines>
  <Paragraphs>16</Paragraphs>
  <ScaleCrop>false</ScaleCrop>
  <Company/>
  <LinksUpToDate>false</LinksUpToDate>
  <CharactersWithSpaces>8400</CharactersWithSpaces>
  <SharedDoc>false</SharedDoc>
  <HLinks>
    <vt:vector size="12" baseType="variant">
      <vt:variant>
        <vt:i4>7274538</vt:i4>
      </vt:variant>
      <vt:variant>
        <vt:i4>3</vt:i4>
      </vt:variant>
      <vt:variant>
        <vt:i4>0</vt:i4>
      </vt:variant>
      <vt:variant>
        <vt:i4>5</vt:i4>
      </vt:variant>
      <vt:variant>
        <vt:lpwstr>https://www.conexus.lv/</vt:lpwstr>
      </vt:variant>
      <vt:variant>
        <vt:lpwstr/>
      </vt:variant>
      <vt:variant>
        <vt:i4>655393</vt:i4>
      </vt:variant>
      <vt:variant>
        <vt:i4>0</vt:i4>
      </vt:variant>
      <vt:variant>
        <vt:i4>0</vt:i4>
      </vt:variant>
      <vt:variant>
        <vt:i4>5</vt:i4>
      </vt:variant>
      <vt:variant>
        <vt:lpwstr>mailto:info@conexus.lv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Vjačeslavs Ņikiforovs</dc:creator>
  <cp:keywords/>
  <dc:description/>
  <cp:lastModifiedBy>Vidaga Paulauska</cp:lastModifiedBy>
  <cp:revision>3</cp:revision>
  <dcterms:created xsi:type="dcterms:W3CDTF">2024-12-09T16:14:00Z</dcterms:created>
  <dcterms:modified xsi:type="dcterms:W3CDTF">2024-12-11T13:02:00Z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83c8fe-858f-419f-96aa-6e16d9a938bd_Enabled">
    <vt:lpwstr>True</vt:lpwstr>
  </property>
  <property fmtid="{D5CDD505-2E9C-101B-9397-08002B2CF9AE}" pid="3" name="MSIP_Label_3983c8fe-858f-419f-96aa-6e16d9a938bd_SiteId">
    <vt:lpwstr>2a56aaf6-d773-4e83-b5cc-392a453ef3db</vt:lpwstr>
  </property>
  <property fmtid="{D5CDD505-2E9C-101B-9397-08002B2CF9AE}" pid="4" name="MSIP_Label_3983c8fe-858f-419f-96aa-6e16d9a938bd_SetDate">
    <vt:lpwstr>2024-12-09T16:16:55Z</vt:lpwstr>
  </property>
  <property fmtid="{D5CDD505-2E9C-101B-9397-08002B2CF9AE}" pid="5" name="MSIP_Label_3983c8fe-858f-419f-96aa-6e16d9a938bd_Name">
    <vt:lpwstr>Ierobežotas pieejamības informācija, C klase</vt:lpwstr>
  </property>
  <property fmtid="{D5CDD505-2E9C-101B-9397-08002B2CF9AE}" pid="6" name="MSIP_Label_3983c8fe-858f-419f-96aa-6e16d9a938bd_ActionId">
    <vt:lpwstr>82ab8e3c-44cc-4323-80dd-f5c5a17f1564</vt:lpwstr>
  </property>
  <property fmtid="{D5CDD505-2E9C-101B-9397-08002B2CF9AE}" pid="7" name="MSIP_Label_3983c8fe-858f-419f-96aa-6e16d9a938bd_Removed">
    <vt:lpwstr>False</vt:lpwstr>
  </property>
  <property fmtid="{D5CDD505-2E9C-101B-9397-08002B2CF9AE}" pid="8" name="MSIP_Label_3983c8fe-858f-419f-96aa-6e16d9a938bd_Extended_MSFT_Method">
    <vt:lpwstr>Standard</vt:lpwstr>
  </property>
  <property fmtid="{D5CDD505-2E9C-101B-9397-08002B2CF9AE}" pid="9" name="Sensitivity">
    <vt:lpwstr>Ierobežotas pieejamības informācija, C klase</vt:lpwstr>
  </property>
</Properties>
</file>