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A58A0" w14:textId="77777777" w:rsidR="00396CB5" w:rsidRPr="001C1FA6" w:rsidRDefault="00374B7A" w:rsidP="001C1F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lv-LV"/>
        </w:rPr>
      </w:pPr>
      <w:r w:rsidRPr="001C1FA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lv-LV"/>
        </w:rPr>
        <w:t>PASKAIDROJUMA RAKSTS</w:t>
      </w:r>
    </w:p>
    <w:p w14:paraId="1F16BB2F" w14:textId="011A7907" w:rsidR="001C4DC8" w:rsidRPr="001C1FA6" w:rsidRDefault="001C4DC8" w:rsidP="000B47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lv-LV"/>
        </w:rPr>
      </w:pPr>
      <w:r w:rsidRPr="001C1FA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lv-LV"/>
        </w:rPr>
        <w:t xml:space="preserve">Kuldīgas novada </w:t>
      </w:r>
      <w:r w:rsidR="00374B7A" w:rsidRPr="001C1FA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lv-LV"/>
        </w:rPr>
        <w:t xml:space="preserve">domes </w:t>
      </w:r>
      <w:r w:rsidRPr="001C1FA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lv-LV"/>
        </w:rPr>
        <w:t>sais</w:t>
      </w:r>
      <w:r w:rsidR="006D6E91" w:rsidRPr="001C1FA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lv-LV"/>
        </w:rPr>
        <w:t>tošajiem noteikumiem Nr. </w:t>
      </w:r>
      <w:r w:rsidR="00B85F64" w:rsidRPr="001C1FA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lv-LV"/>
        </w:rPr>
        <w:t>13/2024</w:t>
      </w:r>
    </w:p>
    <w:p w14:paraId="15FC654D" w14:textId="675779BD" w:rsidR="00396CB5" w:rsidRPr="001C1FA6" w:rsidRDefault="00A9528A" w:rsidP="000B47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1C1FA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lv-LV"/>
        </w:rPr>
        <w:t>“</w:t>
      </w:r>
      <w:r w:rsidR="001C1FA6" w:rsidRPr="001C1FA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lv-LV"/>
        </w:rPr>
        <w:t>Grozījumi Kuldīgas novada domes 21.12.2023. saistošajos noteikumos Nr. 16/2023 “</w:t>
      </w:r>
      <w:bookmarkStart w:id="0" w:name="_Hlk166138547"/>
      <w:r w:rsidR="001C1FA6" w:rsidRPr="001C1FA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lv-LV"/>
        </w:rPr>
        <w:t>Par Kuldīgas novada pašvaldības līdzekļu piešķiršanu kultūras pieminekļu restaurācijai, atjaunošanai un konservācijai Kuldīgas novadā</w:t>
      </w:r>
      <w:bookmarkEnd w:id="0"/>
      <w:r w:rsidR="00913F3F" w:rsidRPr="001C1FA6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”</w:t>
      </w:r>
      <w:r w:rsidR="004D5E82" w:rsidRPr="001C1FA6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”</w:t>
      </w:r>
    </w:p>
    <w:p w14:paraId="0EC70202" w14:textId="77777777" w:rsidR="008B3C76" w:rsidRPr="001C1FA6" w:rsidRDefault="008B3C76" w:rsidP="00BF209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730"/>
        <w:gridCol w:w="6941"/>
      </w:tblGrid>
      <w:tr w:rsidR="008B3C76" w:rsidRPr="001C1FA6" w14:paraId="3E21E410" w14:textId="77777777" w:rsidTr="000C5035">
        <w:tc>
          <w:tcPr>
            <w:tcW w:w="2269" w:type="dxa"/>
          </w:tcPr>
          <w:p w14:paraId="03A4C1B3" w14:textId="77777777" w:rsidR="004D5E82" w:rsidRPr="001C1FA6" w:rsidRDefault="00374B7A" w:rsidP="001C1FA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93" w:lineRule="atLeast"/>
              <w:ind w:left="633" w:hanging="720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Mērķis un </w:t>
            </w:r>
            <w:r w:rsidR="004D5E82" w:rsidRPr="001C1FA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nepieciešamības pamatojums</w:t>
            </w:r>
          </w:p>
        </w:tc>
        <w:tc>
          <w:tcPr>
            <w:tcW w:w="7371" w:type="dxa"/>
          </w:tcPr>
          <w:p w14:paraId="706F336A" w14:textId="60FB8BDA" w:rsidR="000B4723" w:rsidRPr="001C1FA6" w:rsidRDefault="001C1FA6" w:rsidP="001C1FA6">
            <w:pPr>
              <w:shd w:val="clear" w:color="auto" w:fill="FFFFFF"/>
              <w:spacing w:line="293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Tā </w:t>
            </w:r>
            <w:r w:rsidR="00652613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kā regulas ir juridiski saistoši tiesību akti un tās ir jāpiemēro pilnībā un visās Eiropas Savienības dalībvalstīs, šie s</w:t>
            </w:r>
            <w:r w:rsidR="00A01974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aistoš</w:t>
            </w:r>
            <w:r w:rsidR="00EC2D90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ie</w:t>
            </w:r>
            <w:r w:rsidR="00A01974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noteikum</w:t>
            </w:r>
            <w:r w:rsidR="00EC2D90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i ir </w:t>
            </w:r>
            <w:r w:rsidR="00A01974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aktualizēti un precizēti </w:t>
            </w:r>
            <w:r w:rsidR="000B4723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atbilstoši </w:t>
            </w:r>
            <w:r w:rsidR="00652613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Eiropas Komisijas </w:t>
            </w:r>
            <w:r w:rsidR="000B4723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2023. gada 13. decembra regulai Nr. 2023/2831 par Līguma par Eiropas Savienības darbību </w:t>
            </w:r>
            <w:hyperlink r:id="rId5" w:anchor="p107" w:history="1">
              <w:r w:rsidR="000B4723" w:rsidRPr="001C1FA6">
                <w:rPr>
                  <w:rFonts w:ascii="Arial" w:eastAsia="Times New Roman" w:hAnsi="Arial" w:cs="Arial"/>
                  <w:bCs/>
                  <w:sz w:val="24"/>
                  <w:szCs w:val="24"/>
                  <w:lang w:eastAsia="lv-LV"/>
                </w:rPr>
                <w:t>107. </w:t>
              </w:r>
            </w:hyperlink>
            <w:r w:rsidR="000B4723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un </w:t>
            </w:r>
            <w:hyperlink r:id="rId6" w:anchor="p108" w:history="1">
              <w:r w:rsidR="000B4723" w:rsidRPr="001C1FA6">
                <w:rPr>
                  <w:rFonts w:ascii="Arial" w:eastAsia="Times New Roman" w:hAnsi="Arial" w:cs="Arial"/>
                  <w:bCs/>
                  <w:sz w:val="24"/>
                  <w:szCs w:val="24"/>
                  <w:lang w:eastAsia="lv-LV"/>
                </w:rPr>
                <w:t>108. panta</w:t>
              </w:r>
            </w:hyperlink>
            <w:r w:rsidR="000B4723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 piemērošanu </w:t>
            </w:r>
            <w:r w:rsidR="000B4723" w:rsidRPr="001C1FA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lv-LV"/>
              </w:rPr>
              <w:t>de minimis</w:t>
            </w:r>
            <w:r w:rsidR="000B4723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 atbalstam (turpmāk – Komisijas regula Nr. 2023/2831), kas nosaka šādus principus:</w:t>
            </w:r>
          </w:p>
          <w:p w14:paraId="38B5AA4A" w14:textId="4969D806" w:rsidR="000B4723" w:rsidRPr="001C1FA6" w:rsidRDefault="000B4723" w:rsidP="001C1FA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93" w:lineRule="atLeast"/>
              <w:ind w:hanging="45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kopējais </w:t>
            </w:r>
            <w:r w:rsidRPr="001C1FA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lv-LV"/>
              </w:rPr>
              <w:t>de minimis</w:t>
            </w: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 atbalsts jeb robežlielums, ko viena dalībvalsts piešķīrusi vienam vienotam uzņēmumam, jebkurā triju gadu periodā nepārsniedz EUR 300</w:t>
            </w:r>
            <w:r w:rsidR="00652613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 </w:t>
            </w: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000</w:t>
            </w:r>
            <w:r w:rsidR="00652613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;</w:t>
            </w:r>
          </w:p>
          <w:p w14:paraId="2C52B3C6" w14:textId="2A76D157" w:rsidR="000B4723" w:rsidRPr="001C1FA6" w:rsidRDefault="000B4723" w:rsidP="001C1FA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93" w:lineRule="atLeast"/>
              <w:ind w:hanging="455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trīs gadu laikposms noteikts kā slīdošs periods, tas ir, turpmāk </w:t>
            </w:r>
            <w:r w:rsidRPr="001C1FA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lv-LV"/>
              </w:rPr>
              <w:t>de</w:t>
            </w:r>
            <w:r w:rsidR="00652613" w:rsidRPr="001C1FA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lv-LV"/>
              </w:rPr>
              <w:t> </w:t>
            </w:r>
            <w:r w:rsidRPr="001C1FA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lv-LV"/>
              </w:rPr>
              <w:t>minimis</w:t>
            </w: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 atbalsta kopsumma, ko piešķir vienam vienotam uzņēmumam, nevienā trīs gadu periodā no tā piešķiršanas brīža nedrīkst pārsniegt noteikto robežlielumu (no datuma, kurā plānots piešķirt atbalstu</w:t>
            </w:r>
            <w:r w:rsidR="00476A7A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,</w:t>
            </w: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skatās trīs kalendāro gadu laikā piešķirto atbalstu (piemēram, ja atbalstu plānots piešķirt 18.01.2024., tad ņem vērā iepriekš piešķirto </w:t>
            </w:r>
            <w:r w:rsidRPr="001C1FA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lv-LV"/>
              </w:rPr>
              <w:t>de minimis</w:t>
            </w: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atbalstu periodā no 18.01.2021. (ieskaitot) līdz 18.01.2024)</w:t>
            </w:r>
            <w:r w:rsidR="00EC2D90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. </w:t>
            </w:r>
          </w:p>
          <w:p w14:paraId="74C82AE1" w14:textId="1274E659" w:rsidR="004D5E82" w:rsidRPr="001C1FA6" w:rsidRDefault="00EC2D90" w:rsidP="001C1FA6">
            <w:pPr>
              <w:shd w:val="clear" w:color="auto" w:fill="FFFFFF"/>
              <w:spacing w:line="293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Komisijas regulas Nr. 2023/2831 nosacījumu iekļaušana atbalsta pasākumā ir nepieciešama neatkarīgi no atbalsta pasākuma juridiskā ietvara formas</w:t>
            </w:r>
            <w:r w:rsidR="00476A7A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,</w:t>
            </w:r>
            <w:r w:rsidR="001A71FD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šajā gadījumā</w:t>
            </w:r>
            <w:r w:rsidR="00D91C7D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šajos s</w:t>
            </w:r>
            <w:r w:rsidR="001A71FD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aistošajos noteikumos ir jāiekļauj </w:t>
            </w:r>
            <w:r w:rsidR="00652613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aktuālā </w:t>
            </w:r>
            <w:r w:rsidR="001A71FD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informācija par valsts atbalsta iegūšanas piešķiršanas nosacījumiem, atbalsta pretendenta izvērtēšanu un pašvaldības un atbalsta pretendenta atbildību atbilstoši Komisijas regulas Nr.2023/2831 nosacījumiem uz atbalsta piešķiršanas brīdi. </w:t>
            </w:r>
            <w:r w:rsidR="00652613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S</w:t>
            </w:r>
            <w:r w:rsidR="00A01974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aistošie noteikumi nosaka pašvaldības </w:t>
            </w:r>
            <w:r w:rsidR="001A71FD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līdzfinansējuma</w:t>
            </w:r>
            <w:r w:rsidR="00A01974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saņemšanas, izbeigšanas kārtību, to personu loku, kurām ir tiesības saņemt </w:t>
            </w:r>
            <w:r w:rsidR="001A71FD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līdzfinansējumu valsts atbalsta veidā</w:t>
            </w:r>
            <w:r w:rsidR="00CB43B1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8B3C76" w:rsidRPr="001C1FA6" w14:paraId="5D8E8FC8" w14:textId="77777777" w:rsidTr="000C5035">
        <w:tc>
          <w:tcPr>
            <w:tcW w:w="2269" w:type="dxa"/>
          </w:tcPr>
          <w:p w14:paraId="35370A10" w14:textId="77777777" w:rsidR="004D5E82" w:rsidRPr="001C1FA6" w:rsidRDefault="004D5E82" w:rsidP="001C1FA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93" w:lineRule="atLeast"/>
              <w:ind w:left="633" w:hanging="720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Fiskālā ietekme uz pašvaldības budžetu</w:t>
            </w:r>
          </w:p>
        </w:tc>
        <w:tc>
          <w:tcPr>
            <w:tcW w:w="7371" w:type="dxa"/>
          </w:tcPr>
          <w:p w14:paraId="23285696" w14:textId="7D1CB706" w:rsidR="004D5E82" w:rsidRPr="001C1FA6" w:rsidRDefault="007828E9" w:rsidP="001C1FA6">
            <w:pPr>
              <w:shd w:val="clear" w:color="auto" w:fill="FFFFFF"/>
              <w:spacing w:line="293" w:lineRule="atLeas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S</w:t>
            </w:r>
            <w:r w:rsidR="0046704C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aistošo noteikumu </w:t>
            </w:r>
            <w:r w:rsidR="00AD2252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grozījumos paredzētais l</w:t>
            </w:r>
            <w:r w:rsidR="00965A76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īdzfinansējums tiek piešķirts apstiprinātā pašvaldības budžeta ietvaros. Papildu ietekme uz budžetu nav plānota</w:t>
            </w:r>
            <w:r w:rsidR="00AD2252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8B3C76" w:rsidRPr="001C1FA6" w14:paraId="7E62FEC0" w14:textId="77777777" w:rsidTr="000C5035">
        <w:tc>
          <w:tcPr>
            <w:tcW w:w="2269" w:type="dxa"/>
          </w:tcPr>
          <w:p w14:paraId="3DDF2254" w14:textId="0669D784" w:rsidR="004D5E82" w:rsidRPr="001C1FA6" w:rsidRDefault="004D5E82" w:rsidP="001C1FA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93" w:lineRule="atLeast"/>
              <w:ind w:left="633" w:hanging="720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Sociālā ietekme, ietekme uz vidi, iedzīvotāju veselību, uzņēmējdarbības vidi pašvaldības teritorijā, kā arī </w:t>
            </w:r>
            <w:r w:rsidRPr="001C1FA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lastRenderedPageBreak/>
              <w:t>plānotā regulējuma ietekme uz konkurenci</w:t>
            </w:r>
          </w:p>
        </w:tc>
        <w:tc>
          <w:tcPr>
            <w:tcW w:w="7371" w:type="dxa"/>
          </w:tcPr>
          <w:p w14:paraId="6771A387" w14:textId="248D5F3F" w:rsidR="00D91C7D" w:rsidRPr="001C1FA6" w:rsidRDefault="00D91C7D" w:rsidP="001C1FA6">
            <w:pPr>
              <w:shd w:val="clear" w:color="auto" w:fill="FFFFFF"/>
              <w:spacing w:line="293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lastRenderedPageBreak/>
              <w:t>Sociālā ietekme – nav paredzēta.</w:t>
            </w:r>
          </w:p>
          <w:p w14:paraId="0D9B5062" w14:textId="31F905EB" w:rsidR="00D91C7D" w:rsidRPr="001C1FA6" w:rsidRDefault="00D91C7D" w:rsidP="001C1FA6">
            <w:pPr>
              <w:shd w:val="clear" w:color="auto" w:fill="FFFFFF"/>
              <w:spacing w:line="293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Ietekme uz vidi – nav paredzēta.</w:t>
            </w:r>
          </w:p>
          <w:p w14:paraId="1A676704" w14:textId="6E2484D7" w:rsidR="00D91C7D" w:rsidRPr="001C1FA6" w:rsidRDefault="00D91C7D" w:rsidP="001C1FA6">
            <w:pPr>
              <w:shd w:val="clear" w:color="auto" w:fill="FFFFFF"/>
              <w:spacing w:line="293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Ietekme uz iedzīvotāju veselību – nav paredzēta.</w:t>
            </w:r>
          </w:p>
          <w:p w14:paraId="0BE7CCC3" w14:textId="18CE144D" w:rsidR="00D91C7D" w:rsidRPr="001C1FA6" w:rsidRDefault="00D91C7D" w:rsidP="001C1FA6">
            <w:pPr>
              <w:shd w:val="clear" w:color="auto" w:fill="FFFFFF"/>
              <w:spacing w:line="293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Ietekme uz uzņēmējdarbības vidi pašvaldības teritorijā – vienlīdzīgas iespējas saņemt pašvaldības atbalstu arī saimnieciskās darbības veicējiem.</w:t>
            </w:r>
          </w:p>
          <w:p w14:paraId="553571FE" w14:textId="16105003" w:rsidR="004D5E82" w:rsidRPr="001C1FA6" w:rsidRDefault="00D91C7D" w:rsidP="001C1FA6">
            <w:pPr>
              <w:shd w:val="clear" w:color="auto" w:fill="FFFFFF"/>
              <w:spacing w:line="293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Ietekme uz konkurenci – nav paredzēta.</w:t>
            </w:r>
          </w:p>
        </w:tc>
      </w:tr>
      <w:tr w:rsidR="008B3C76" w:rsidRPr="001C1FA6" w14:paraId="7657D5DC" w14:textId="77777777" w:rsidTr="000C5035">
        <w:tc>
          <w:tcPr>
            <w:tcW w:w="2269" w:type="dxa"/>
          </w:tcPr>
          <w:p w14:paraId="36D41804" w14:textId="77777777" w:rsidR="004D5E82" w:rsidRPr="001C1FA6" w:rsidRDefault="00B171CB" w:rsidP="001C1FA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93" w:lineRule="atLeast"/>
              <w:ind w:left="633" w:hanging="720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Ietekme uz administratīvajām procedūrām un to izmaksām</w:t>
            </w:r>
          </w:p>
        </w:tc>
        <w:tc>
          <w:tcPr>
            <w:tcW w:w="7371" w:type="dxa"/>
          </w:tcPr>
          <w:p w14:paraId="37E8BAED" w14:textId="17C52C17" w:rsidR="000C5035" w:rsidRPr="001C1FA6" w:rsidRDefault="00AB7D58" w:rsidP="001C1FA6">
            <w:pPr>
              <w:shd w:val="clear" w:color="auto" w:fill="FFFFFF"/>
              <w:spacing w:line="293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S</w:t>
            </w:r>
            <w:r w:rsidR="00541933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aistošo noteikumu piemērošanā </w:t>
            </w:r>
            <w:r w:rsidR="00D91C7D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saimnieciskās darbības veicēji</w:t>
            </w:r>
            <w:r w:rsidR="00541933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var vērsties Kuldīgas novada pašvaldības </w:t>
            </w:r>
            <w:r w:rsidR="00A2731F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iestādē</w:t>
            </w:r>
            <w:r w:rsidR="00541933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“</w:t>
            </w:r>
            <w:r w:rsidR="00A2731F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Kuldīgas attīstības aģentūra”</w:t>
            </w:r>
            <w:r w:rsidR="00BF2099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(turpmāk</w:t>
            </w:r>
            <w:r w:rsidR="000C5035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 </w:t>
            </w:r>
            <w:r w:rsidR="00BF2099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– </w:t>
            </w:r>
            <w:r w:rsidR="00A2731F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KAA</w:t>
            </w:r>
            <w:r w:rsidR="00BF2099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)</w:t>
            </w:r>
            <w:r w:rsidR="00103681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.</w:t>
            </w:r>
            <w:r w:rsidR="00D91C7D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Saistošo noteikumu</w:t>
            </w:r>
            <w:r w:rsidR="00AE668B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grozījumi neietekmē jaunus </w:t>
            </w:r>
            <w:r w:rsidR="00A2731F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līdzfinansējuma</w:t>
            </w:r>
            <w:r w:rsidR="00AE668B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saņēmējus</w:t>
            </w:r>
            <w:r w:rsidR="009373E3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(</w:t>
            </w:r>
            <w:r w:rsidR="00A2731F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saimnieciskās darbības veicēj</w:t>
            </w:r>
            <w:r w:rsidR="009373E3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us)</w:t>
            </w:r>
            <w:r w:rsidR="00AE668B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, savukārt </w:t>
            </w:r>
            <w:r w:rsidR="00CA6327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uz </w:t>
            </w:r>
            <w:r w:rsidR="00AE668B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personām, </w:t>
            </w:r>
            <w:r w:rsidR="00D0372A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kurām līdz grozījumu stāšanās spēkā brīdim </w:t>
            </w:r>
            <w:r w:rsidR="00AE668B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piešķirts </w:t>
            </w:r>
            <w:r w:rsidR="00A2731F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līdzfinansējums, ir attiecināma</w:t>
            </w:r>
            <w:r w:rsidR="00AE668B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</w:t>
            </w:r>
            <w:r w:rsidR="00D91C7D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Eiropas </w:t>
            </w:r>
            <w:r w:rsidR="00A2731F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Komisijas </w:t>
            </w:r>
            <w:hyperlink r:id="rId7" w:anchor="p2013" w:history="1">
              <w:r w:rsidR="00A2731F" w:rsidRPr="001C1FA6">
                <w:rPr>
                  <w:rFonts w:ascii="Arial" w:eastAsia="Times New Roman" w:hAnsi="Arial" w:cs="Arial"/>
                  <w:bCs/>
                  <w:sz w:val="24"/>
                  <w:szCs w:val="24"/>
                  <w:lang w:eastAsia="lv-LV"/>
                </w:rPr>
                <w:t>2013.</w:t>
              </w:r>
            </w:hyperlink>
            <w:r w:rsidR="00DE4C1E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 </w:t>
            </w:r>
            <w:r w:rsidR="00A2731F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gada </w:t>
            </w:r>
            <w:hyperlink r:id="rId8" w:anchor="p18" w:history="1">
              <w:r w:rsidR="00A2731F" w:rsidRPr="001C1FA6">
                <w:rPr>
                  <w:rFonts w:ascii="Arial" w:eastAsia="Times New Roman" w:hAnsi="Arial" w:cs="Arial"/>
                  <w:bCs/>
                  <w:sz w:val="24"/>
                  <w:szCs w:val="24"/>
                  <w:lang w:eastAsia="lv-LV"/>
                </w:rPr>
                <w:t>18.</w:t>
              </w:r>
            </w:hyperlink>
            <w:r w:rsidR="00DE4C1E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 </w:t>
            </w:r>
            <w:r w:rsidR="00A2731F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decembra regula Nr.</w:t>
            </w:r>
            <w:r w:rsidR="00DE4C1E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 </w:t>
            </w:r>
            <w:r w:rsidR="00A2731F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1407/2013 par Līguma par Eiropas Savienības</w:t>
            </w:r>
            <w:r w:rsidR="00D91C7D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</w:t>
            </w:r>
            <w:r w:rsidR="00A2731F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darbību </w:t>
            </w:r>
            <w:hyperlink r:id="rId9" w:anchor="p107" w:history="1">
              <w:r w:rsidR="00A2731F" w:rsidRPr="001C1FA6">
                <w:rPr>
                  <w:rFonts w:ascii="Arial" w:eastAsia="Times New Roman" w:hAnsi="Arial" w:cs="Arial"/>
                  <w:bCs/>
                  <w:sz w:val="24"/>
                  <w:szCs w:val="24"/>
                  <w:lang w:eastAsia="lv-LV"/>
                </w:rPr>
                <w:t>107. </w:t>
              </w:r>
            </w:hyperlink>
            <w:r w:rsidR="00A2731F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un </w:t>
            </w:r>
            <w:hyperlink r:id="rId10" w:anchor="p108" w:history="1">
              <w:r w:rsidR="00A2731F" w:rsidRPr="001C1FA6">
                <w:rPr>
                  <w:rFonts w:ascii="Arial" w:eastAsia="Times New Roman" w:hAnsi="Arial" w:cs="Arial"/>
                  <w:bCs/>
                  <w:sz w:val="24"/>
                  <w:szCs w:val="24"/>
                  <w:lang w:eastAsia="lv-LV"/>
                </w:rPr>
                <w:t>108.</w:t>
              </w:r>
              <w:r w:rsidR="009373E3" w:rsidRPr="001C1FA6">
                <w:rPr>
                  <w:rFonts w:ascii="Arial" w:eastAsia="Times New Roman" w:hAnsi="Arial" w:cs="Arial"/>
                  <w:bCs/>
                  <w:sz w:val="24"/>
                  <w:szCs w:val="24"/>
                  <w:lang w:eastAsia="lv-LV"/>
                </w:rPr>
                <w:t> </w:t>
              </w:r>
              <w:r w:rsidR="00A2731F" w:rsidRPr="001C1FA6">
                <w:rPr>
                  <w:rFonts w:ascii="Arial" w:eastAsia="Times New Roman" w:hAnsi="Arial" w:cs="Arial"/>
                  <w:bCs/>
                  <w:sz w:val="24"/>
                  <w:szCs w:val="24"/>
                  <w:lang w:eastAsia="lv-LV"/>
                </w:rPr>
                <w:t>panta</w:t>
              </w:r>
            </w:hyperlink>
            <w:r w:rsidR="00A2731F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 piemērošanu </w:t>
            </w:r>
            <w:r w:rsidR="00A2731F" w:rsidRPr="001C1FA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lv-LV"/>
              </w:rPr>
              <w:t>de</w:t>
            </w:r>
            <w:r w:rsidR="009373E3" w:rsidRPr="001C1FA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lv-LV"/>
              </w:rPr>
              <w:t> </w:t>
            </w:r>
            <w:r w:rsidR="00A2731F" w:rsidRPr="001C1FA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lv-LV"/>
              </w:rPr>
              <w:t>minimis </w:t>
            </w:r>
            <w:r w:rsidR="00A2731F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atbalstam</w:t>
            </w:r>
            <w:r w:rsidR="00D0372A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.</w:t>
            </w:r>
            <w:r w:rsidR="00A2731F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</w:t>
            </w:r>
            <w:r w:rsidR="009373E3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Ar šiem saistošajiem noteikumiem administratīvo procesu izmaksas saimnieciskās darbības veicējiem nav paredzētas.</w:t>
            </w:r>
          </w:p>
        </w:tc>
      </w:tr>
      <w:tr w:rsidR="008B3C76" w:rsidRPr="001C1FA6" w14:paraId="6F90D127" w14:textId="77777777" w:rsidTr="000C5035">
        <w:tc>
          <w:tcPr>
            <w:tcW w:w="2269" w:type="dxa"/>
          </w:tcPr>
          <w:p w14:paraId="22B448DE" w14:textId="77777777" w:rsidR="00AA50F3" w:rsidRPr="001C1FA6" w:rsidRDefault="00AA50F3" w:rsidP="001C1FA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93" w:lineRule="atLeast"/>
              <w:ind w:left="633" w:hanging="720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Ietekme uz pašvaldības funkcijām un cilvēkresursiem </w:t>
            </w:r>
          </w:p>
        </w:tc>
        <w:tc>
          <w:tcPr>
            <w:tcW w:w="7371" w:type="dxa"/>
          </w:tcPr>
          <w:p w14:paraId="60712477" w14:textId="7BA847DC" w:rsidR="00AA50F3" w:rsidRPr="001C1FA6" w:rsidRDefault="009373E3" w:rsidP="001C1FA6">
            <w:pPr>
              <w:shd w:val="clear" w:color="auto" w:fill="FFFFFF"/>
              <w:spacing w:line="293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Saistošo noteikumu izpildes nodrošināšanai nav nepieciešams veidot jaunas pašvaldības institūcijas, darba vietas. </w:t>
            </w:r>
            <w:r w:rsidR="00AB7D58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S</w:t>
            </w:r>
            <w:r w:rsidR="005263B7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aistošo noteik</w:t>
            </w:r>
            <w:r w:rsidR="000C5035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umu īstenošana neparedz papildu</w:t>
            </w:r>
            <w:r w:rsidR="005263B7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cilvēkresursu iesaisti, </w:t>
            </w:r>
            <w:r w:rsidR="00BF2099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saistošo noteikumu īstenošan</w:t>
            </w:r>
            <w:r w:rsidR="004424DD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u</w:t>
            </w:r>
            <w:r w:rsidR="00BF2099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 xml:space="preserve"> turpinās administrēt </w:t>
            </w: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KAA</w:t>
            </w:r>
            <w:r w:rsidR="004424DD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8B3C76" w:rsidRPr="001C1FA6" w14:paraId="49EACB8C" w14:textId="77777777" w:rsidTr="000C5035">
        <w:tc>
          <w:tcPr>
            <w:tcW w:w="2269" w:type="dxa"/>
          </w:tcPr>
          <w:p w14:paraId="21B4C2E6" w14:textId="77777777" w:rsidR="00AA50F3" w:rsidRPr="001C1FA6" w:rsidRDefault="00AA50F3" w:rsidP="001C1FA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93" w:lineRule="atLeast"/>
              <w:ind w:left="633" w:hanging="720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Informācija par izpildes nodrošināšanu </w:t>
            </w:r>
          </w:p>
        </w:tc>
        <w:tc>
          <w:tcPr>
            <w:tcW w:w="7371" w:type="dxa"/>
          </w:tcPr>
          <w:p w14:paraId="284DC0D1" w14:textId="027A8954" w:rsidR="00AA50F3" w:rsidRPr="001C1FA6" w:rsidRDefault="00AB7D58" w:rsidP="001C1FA6">
            <w:pPr>
              <w:shd w:val="clear" w:color="auto" w:fill="FFFFFF"/>
              <w:spacing w:line="293" w:lineRule="atLeas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="005263B7"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aistošo noteikumu izpildi turpinās </w:t>
            </w:r>
            <w:r w:rsidR="009373E3"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KAA</w:t>
            </w:r>
            <w:r w:rsidR="00BF2099"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0C5035"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tādējādi</w:t>
            </w:r>
            <w:r w:rsidR="005263B7"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nav </w:t>
            </w:r>
            <w:r w:rsidR="005263B7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nepieci</w:t>
            </w:r>
            <w:r w:rsidR="007828E9"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ešama</w:t>
            </w:r>
            <w:r w:rsidR="007828E9"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jaunu institūciju izveide</w:t>
            </w:r>
            <w:r w:rsidR="009373E3"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un p</w:t>
            </w:r>
            <w:r w:rsidR="004F622B"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apildu</w:t>
            </w:r>
            <w:r w:rsidR="005263B7"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resursi nav nepieciešami.</w:t>
            </w:r>
          </w:p>
        </w:tc>
      </w:tr>
      <w:tr w:rsidR="008B3C76" w:rsidRPr="001C1FA6" w14:paraId="1AA28B8D" w14:textId="77777777" w:rsidTr="000C5035">
        <w:tc>
          <w:tcPr>
            <w:tcW w:w="2269" w:type="dxa"/>
          </w:tcPr>
          <w:p w14:paraId="4F8F877C" w14:textId="77777777" w:rsidR="00AA50F3" w:rsidRPr="001C1FA6" w:rsidRDefault="00AA50F3" w:rsidP="001C1FA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93" w:lineRule="atLeast"/>
              <w:ind w:left="633" w:hanging="720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Prasību un izmaksu samērīgums pret ieguvumiem, ko sniedz mērķa sasniegšana </w:t>
            </w:r>
          </w:p>
        </w:tc>
        <w:tc>
          <w:tcPr>
            <w:tcW w:w="7371" w:type="dxa"/>
          </w:tcPr>
          <w:p w14:paraId="334C8BF9" w14:textId="7B1FCCBE" w:rsidR="004F622B" w:rsidRPr="001C1FA6" w:rsidRDefault="009373E3" w:rsidP="001C1FA6">
            <w:pPr>
              <w:shd w:val="clear" w:color="auto" w:fill="FFFFFF"/>
              <w:spacing w:line="293" w:lineRule="atLeas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Saistošie noteikumi ir piemēroti iecerētā mērķa sasniegšanas </w:t>
            </w: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nodrošināšanai</w:t>
            </w:r>
            <w:r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un paredz tikai to, kas ir vajadzīgs minētā mērķa sasniegšanai. Saistošo noteikumu prasības un to izpilde neradīs papildus izmaksas pašvaldībai.</w:t>
            </w:r>
          </w:p>
        </w:tc>
      </w:tr>
      <w:tr w:rsidR="008B3C76" w:rsidRPr="001C1FA6" w14:paraId="296A09C8" w14:textId="77777777" w:rsidTr="000C5035">
        <w:tc>
          <w:tcPr>
            <w:tcW w:w="2269" w:type="dxa"/>
          </w:tcPr>
          <w:p w14:paraId="68D06D9F" w14:textId="77777777" w:rsidR="00AA50F3" w:rsidRPr="001C1FA6" w:rsidRDefault="00AA50F3" w:rsidP="001C1FA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93" w:lineRule="atLeast"/>
              <w:ind w:left="633" w:hanging="720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C1FA6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 xml:space="preserve">Izstrādes gaitā veiktās konsultācijas ar privātpersonām un institūcijām </w:t>
            </w:r>
          </w:p>
        </w:tc>
        <w:tc>
          <w:tcPr>
            <w:tcW w:w="7371" w:type="dxa"/>
          </w:tcPr>
          <w:p w14:paraId="02C70DD3" w14:textId="2A791AF8" w:rsidR="00AA50F3" w:rsidRPr="001C1FA6" w:rsidRDefault="009373E3" w:rsidP="001C1FA6">
            <w:pPr>
              <w:shd w:val="clear" w:color="auto" w:fill="FFFFFF"/>
              <w:spacing w:line="293" w:lineRule="atLeast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Saistošo noteikumu grozījumu projektu izstrādāju</w:t>
            </w:r>
            <w:r w:rsidR="00DE4C1E"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š</w:t>
            </w:r>
            <w:r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 Kuldīgas novada pašvaldības speciālisti, saistošo noteikumu izstrādes procesā notikušas konsultācijas ar KAA un Finanšu ministriju. </w:t>
            </w:r>
            <w:r w:rsidR="00CB43B1"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Saistošo noteikumu grozījumi tika nosūtīti atzinuma sniegšanai Finanšu ministrijai un atzinums ir pozitīvs. </w:t>
            </w:r>
            <w:r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Atbilstoši </w:t>
            </w:r>
            <w:hyperlink r:id="rId11" w:tgtFrame="_blank" w:history="1">
              <w:r w:rsidRPr="001C1FA6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>Pašvaldību likuma</w:t>
              </w:r>
            </w:hyperlink>
            <w:r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2" w:anchor="p46" w:tgtFrame="_blank" w:history="1">
              <w:r w:rsidRPr="001C1FA6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>46. panta</w:t>
              </w:r>
            </w:hyperlink>
            <w:r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 trešajai daļai, lai informētu sabiedrību par saistošo noteikumu </w:t>
            </w:r>
            <w:r w:rsidRPr="001C1FA6">
              <w:rPr>
                <w:rFonts w:ascii="Arial" w:eastAsia="Times New Roman" w:hAnsi="Arial" w:cs="Arial"/>
                <w:bCs/>
                <w:sz w:val="24"/>
                <w:szCs w:val="24"/>
                <w:lang w:eastAsia="lv-LV"/>
              </w:rPr>
              <w:t>projektu</w:t>
            </w:r>
            <w:r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un dotu iespēju izteikt viedokli, saistošo noteikumu projekts tiek publicēts Kuldīgas novada pašvaldības tīmekļa vietnē: </w:t>
            </w:r>
            <w:hyperlink r:id="rId13" w:history="1">
              <w:r w:rsidRPr="001C1FA6">
                <w:rPr>
                  <w:rFonts w:ascii="Arial" w:hAnsi="Arial" w:cs="Arial"/>
                  <w:i/>
                  <w:iCs/>
                  <w:sz w:val="24"/>
                  <w:szCs w:val="24"/>
                  <w:shd w:val="clear" w:color="auto" w:fill="FFFFFF"/>
                </w:rPr>
                <w:t>www.kuldigasnovads.lv</w:t>
              </w:r>
            </w:hyperlink>
            <w:r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Plānotais sabiedrības līdzdalības veids – priekšlikumu un iebildumu izvērtēšana pēc projekta publicēšanas pašvaldības tīmekļa vietnē. Pēc sabiedrības viedokļa saņemšanas un izskatīšanas, saņemto priekšlikumu vai iebildumu apkopošanas, tos, izvērtējot lietderības apsvērumus, paredzēts iekļaut saistošajos noteikumos.</w:t>
            </w:r>
            <w:r w:rsidR="00D91C7D"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Sabiedrības viedokļa izteikšanas termiņš noteikts divas nedēļas, tas ir no 2024. gada 05. jūnija līdz 2024. gada 19. jūnijam. Pašvaldībā … viedoklis/komentārs par Saistošo noteikumu projektu.</w:t>
            </w:r>
            <w:r w:rsidRPr="001C1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Saistošos noteikumus un paskaidrojuma rakstu izsludinās, tos publicējot oficiālajā izdevumā “Latvijas Vēstnesis”. </w:t>
            </w:r>
          </w:p>
        </w:tc>
      </w:tr>
    </w:tbl>
    <w:p w14:paraId="640604FD" w14:textId="77777777" w:rsidR="00594E50" w:rsidRPr="001C1FA6" w:rsidRDefault="00594E50" w:rsidP="00BF2099">
      <w:pPr>
        <w:spacing w:after="0"/>
        <w:rPr>
          <w:rFonts w:ascii="Arial" w:hAnsi="Arial" w:cs="Arial"/>
          <w:sz w:val="24"/>
          <w:szCs w:val="24"/>
        </w:rPr>
      </w:pPr>
    </w:p>
    <w:p w14:paraId="2978CEFD" w14:textId="77777777" w:rsidR="001A57E7" w:rsidRPr="001C1FA6" w:rsidRDefault="001A57E7" w:rsidP="001A57E7">
      <w:pPr>
        <w:rPr>
          <w:rFonts w:ascii="Arial" w:hAnsi="Arial" w:cs="Arial"/>
          <w:sz w:val="24"/>
          <w:szCs w:val="24"/>
        </w:rPr>
      </w:pPr>
      <w:r w:rsidRPr="001C1FA6">
        <w:rPr>
          <w:rFonts w:ascii="Arial" w:hAnsi="Arial" w:cs="Arial"/>
          <w:iCs/>
          <w:sz w:val="24"/>
          <w:szCs w:val="24"/>
          <w:lang w:eastAsia="lv-LV"/>
        </w:rPr>
        <w:lastRenderedPageBreak/>
        <w:t xml:space="preserve">Kuldīgas novada domes priekšsēdētāja </w:t>
      </w:r>
      <w:r w:rsidRPr="001C1FA6">
        <w:rPr>
          <w:rFonts w:ascii="Arial" w:hAnsi="Arial" w:cs="Arial"/>
          <w:iCs/>
          <w:sz w:val="24"/>
          <w:szCs w:val="24"/>
          <w:lang w:eastAsia="lv-LV"/>
        </w:rPr>
        <w:tab/>
      </w:r>
      <w:r w:rsidRPr="001C1FA6">
        <w:rPr>
          <w:rFonts w:ascii="Arial" w:hAnsi="Arial" w:cs="Arial"/>
          <w:iCs/>
          <w:sz w:val="24"/>
          <w:szCs w:val="24"/>
          <w:lang w:eastAsia="lv-LV"/>
        </w:rPr>
        <w:tab/>
      </w:r>
      <w:r w:rsidRPr="001C1FA6">
        <w:rPr>
          <w:rFonts w:ascii="Arial" w:hAnsi="Arial" w:cs="Arial"/>
          <w:iCs/>
          <w:sz w:val="24"/>
          <w:szCs w:val="24"/>
          <w:lang w:eastAsia="lv-LV"/>
        </w:rPr>
        <w:tab/>
      </w:r>
      <w:r w:rsidRPr="001C1FA6">
        <w:rPr>
          <w:rFonts w:ascii="Arial" w:hAnsi="Arial" w:cs="Arial"/>
          <w:iCs/>
          <w:sz w:val="24"/>
          <w:szCs w:val="24"/>
          <w:lang w:eastAsia="lv-LV"/>
        </w:rPr>
        <w:tab/>
      </w:r>
      <w:r w:rsidRPr="001C1FA6">
        <w:rPr>
          <w:rFonts w:ascii="Arial" w:hAnsi="Arial" w:cs="Arial"/>
          <w:iCs/>
          <w:sz w:val="24"/>
          <w:szCs w:val="24"/>
          <w:lang w:eastAsia="lv-LV"/>
        </w:rPr>
        <w:tab/>
        <w:t>Inese Astaševska</w:t>
      </w:r>
    </w:p>
    <w:p w14:paraId="021CE48E" w14:textId="77777777" w:rsidR="001A57E7" w:rsidRPr="001C1FA6" w:rsidRDefault="001A57E7" w:rsidP="00BF2099">
      <w:pPr>
        <w:spacing w:after="0"/>
        <w:rPr>
          <w:rFonts w:ascii="Arial" w:hAnsi="Arial" w:cs="Arial"/>
          <w:sz w:val="24"/>
          <w:szCs w:val="24"/>
        </w:rPr>
      </w:pPr>
    </w:p>
    <w:sectPr w:rsidR="001A57E7" w:rsidRPr="001C1FA6" w:rsidSect="00763689">
      <w:pgSz w:w="11906" w:h="16838"/>
      <w:pgMar w:top="1134" w:right="849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07C5E"/>
    <w:multiLevelType w:val="hybridMultilevel"/>
    <w:tmpl w:val="5E1E2860"/>
    <w:lvl w:ilvl="0" w:tplc="948C6998">
      <w:start w:val="1"/>
      <w:numFmt w:val="decimal"/>
      <w:lvlText w:val="%1)"/>
      <w:lvlJc w:val="left"/>
      <w:pPr>
        <w:ind w:left="8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5" w:hanging="360"/>
      </w:pPr>
    </w:lvl>
    <w:lvl w:ilvl="2" w:tplc="0426001B" w:tentative="1">
      <w:start w:val="1"/>
      <w:numFmt w:val="lowerRoman"/>
      <w:lvlText w:val="%3."/>
      <w:lvlJc w:val="right"/>
      <w:pPr>
        <w:ind w:left="2255" w:hanging="180"/>
      </w:pPr>
    </w:lvl>
    <w:lvl w:ilvl="3" w:tplc="0426000F" w:tentative="1">
      <w:start w:val="1"/>
      <w:numFmt w:val="decimal"/>
      <w:lvlText w:val="%4."/>
      <w:lvlJc w:val="left"/>
      <w:pPr>
        <w:ind w:left="2975" w:hanging="360"/>
      </w:pPr>
    </w:lvl>
    <w:lvl w:ilvl="4" w:tplc="04260019" w:tentative="1">
      <w:start w:val="1"/>
      <w:numFmt w:val="lowerLetter"/>
      <w:lvlText w:val="%5."/>
      <w:lvlJc w:val="left"/>
      <w:pPr>
        <w:ind w:left="3695" w:hanging="360"/>
      </w:pPr>
    </w:lvl>
    <w:lvl w:ilvl="5" w:tplc="0426001B" w:tentative="1">
      <w:start w:val="1"/>
      <w:numFmt w:val="lowerRoman"/>
      <w:lvlText w:val="%6."/>
      <w:lvlJc w:val="right"/>
      <w:pPr>
        <w:ind w:left="4415" w:hanging="180"/>
      </w:pPr>
    </w:lvl>
    <w:lvl w:ilvl="6" w:tplc="0426000F" w:tentative="1">
      <w:start w:val="1"/>
      <w:numFmt w:val="decimal"/>
      <w:lvlText w:val="%7."/>
      <w:lvlJc w:val="left"/>
      <w:pPr>
        <w:ind w:left="5135" w:hanging="360"/>
      </w:pPr>
    </w:lvl>
    <w:lvl w:ilvl="7" w:tplc="04260019" w:tentative="1">
      <w:start w:val="1"/>
      <w:numFmt w:val="lowerLetter"/>
      <w:lvlText w:val="%8."/>
      <w:lvlJc w:val="left"/>
      <w:pPr>
        <w:ind w:left="5855" w:hanging="360"/>
      </w:pPr>
    </w:lvl>
    <w:lvl w:ilvl="8" w:tplc="042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6B1EDC"/>
    <w:multiLevelType w:val="multilevel"/>
    <w:tmpl w:val="7EB2F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54D2B7F"/>
    <w:multiLevelType w:val="hybridMultilevel"/>
    <w:tmpl w:val="8B5E2076"/>
    <w:lvl w:ilvl="0" w:tplc="F02EC4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448F7"/>
    <w:multiLevelType w:val="hybridMultilevel"/>
    <w:tmpl w:val="781E83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F17DE"/>
    <w:multiLevelType w:val="multilevel"/>
    <w:tmpl w:val="AD12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D05C1"/>
    <w:multiLevelType w:val="hybridMultilevel"/>
    <w:tmpl w:val="2B70C5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7F50"/>
    <w:multiLevelType w:val="multilevel"/>
    <w:tmpl w:val="02C6E7C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6F68378A"/>
    <w:multiLevelType w:val="hybridMultilevel"/>
    <w:tmpl w:val="BEAC5070"/>
    <w:lvl w:ilvl="0" w:tplc="CA0EF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04042">
    <w:abstractNumId w:val="6"/>
  </w:num>
  <w:num w:numId="2" w16cid:durableId="950816283">
    <w:abstractNumId w:val="2"/>
  </w:num>
  <w:num w:numId="3" w16cid:durableId="2005817378">
    <w:abstractNumId w:val="3"/>
  </w:num>
  <w:num w:numId="4" w16cid:durableId="833766632">
    <w:abstractNumId w:val="8"/>
  </w:num>
  <w:num w:numId="5" w16cid:durableId="1289238308">
    <w:abstractNumId w:val="7"/>
  </w:num>
  <w:num w:numId="6" w16cid:durableId="39399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4896870">
    <w:abstractNumId w:val="1"/>
  </w:num>
  <w:num w:numId="8" w16cid:durableId="1852909582">
    <w:abstractNumId w:val="0"/>
  </w:num>
  <w:num w:numId="9" w16cid:durableId="2113546450">
    <w:abstractNumId w:val="5"/>
  </w:num>
  <w:num w:numId="10" w16cid:durableId="48579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A8"/>
    <w:rsid w:val="00003CB3"/>
    <w:rsid w:val="000555FE"/>
    <w:rsid w:val="00084940"/>
    <w:rsid w:val="000B4723"/>
    <w:rsid w:val="000C5035"/>
    <w:rsid w:val="00103681"/>
    <w:rsid w:val="00132668"/>
    <w:rsid w:val="001365EB"/>
    <w:rsid w:val="00186C7A"/>
    <w:rsid w:val="001A57E7"/>
    <w:rsid w:val="001A71FD"/>
    <w:rsid w:val="001C1FA6"/>
    <w:rsid w:val="001C4DC8"/>
    <w:rsid w:val="001D48CF"/>
    <w:rsid w:val="001D79A7"/>
    <w:rsid w:val="002208E9"/>
    <w:rsid w:val="0024643F"/>
    <w:rsid w:val="00263AAB"/>
    <w:rsid w:val="002A1F01"/>
    <w:rsid w:val="002A3BCC"/>
    <w:rsid w:val="002B05E6"/>
    <w:rsid w:val="002D3546"/>
    <w:rsid w:val="002D63C3"/>
    <w:rsid w:val="002E77C7"/>
    <w:rsid w:val="002E7A0D"/>
    <w:rsid w:val="002F4F54"/>
    <w:rsid w:val="00325E57"/>
    <w:rsid w:val="00374B7A"/>
    <w:rsid w:val="00376EFB"/>
    <w:rsid w:val="003907BD"/>
    <w:rsid w:val="00396CB5"/>
    <w:rsid w:val="003A51CE"/>
    <w:rsid w:val="003C6A52"/>
    <w:rsid w:val="003F7E18"/>
    <w:rsid w:val="004424DD"/>
    <w:rsid w:val="0046704C"/>
    <w:rsid w:val="00476A7A"/>
    <w:rsid w:val="0049042C"/>
    <w:rsid w:val="00494084"/>
    <w:rsid w:val="004A1E2A"/>
    <w:rsid w:val="004D5E82"/>
    <w:rsid w:val="004F622B"/>
    <w:rsid w:val="0051017C"/>
    <w:rsid w:val="00514597"/>
    <w:rsid w:val="005263B7"/>
    <w:rsid w:val="00541933"/>
    <w:rsid w:val="00570092"/>
    <w:rsid w:val="00570EED"/>
    <w:rsid w:val="00594E50"/>
    <w:rsid w:val="005F68FE"/>
    <w:rsid w:val="00600F06"/>
    <w:rsid w:val="00602226"/>
    <w:rsid w:val="0061483D"/>
    <w:rsid w:val="00652613"/>
    <w:rsid w:val="0067427A"/>
    <w:rsid w:val="00675C14"/>
    <w:rsid w:val="006D0609"/>
    <w:rsid w:val="006D6E91"/>
    <w:rsid w:val="006E7DCD"/>
    <w:rsid w:val="0070386C"/>
    <w:rsid w:val="007102E3"/>
    <w:rsid w:val="00711EC6"/>
    <w:rsid w:val="00740B2A"/>
    <w:rsid w:val="007418CF"/>
    <w:rsid w:val="00743FEF"/>
    <w:rsid w:val="00763689"/>
    <w:rsid w:val="007828E9"/>
    <w:rsid w:val="007911EB"/>
    <w:rsid w:val="007C50D7"/>
    <w:rsid w:val="008B3C76"/>
    <w:rsid w:val="008C0B20"/>
    <w:rsid w:val="00913F3F"/>
    <w:rsid w:val="009373E3"/>
    <w:rsid w:val="009467FE"/>
    <w:rsid w:val="0096355E"/>
    <w:rsid w:val="00965A76"/>
    <w:rsid w:val="00982DD3"/>
    <w:rsid w:val="00995D69"/>
    <w:rsid w:val="009A3E07"/>
    <w:rsid w:val="009B0346"/>
    <w:rsid w:val="009C74EE"/>
    <w:rsid w:val="009F7690"/>
    <w:rsid w:val="00A01211"/>
    <w:rsid w:val="00A01974"/>
    <w:rsid w:val="00A145A9"/>
    <w:rsid w:val="00A24BEB"/>
    <w:rsid w:val="00A2731F"/>
    <w:rsid w:val="00A43550"/>
    <w:rsid w:val="00A502D8"/>
    <w:rsid w:val="00A534FA"/>
    <w:rsid w:val="00A55645"/>
    <w:rsid w:val="00A56E22"/>
    <w:rsid w:val="00A9528A"/>
    <w:rsid w:val="00AA50F3"/>
    <w:rsid w:val="00AB7D58"/>
    <w:rsid w:val="00AD2252"/>
    <w:rsid w:val="00AE668B"/>
    <w:rsid w:val="00AF0354"/>
    <w:rsid w:val="00B0266A"/>
    <w:rsid w:val="00B165DD"/>
    <w:rsid w:val="00B171CB"/>
    <w:rsid w:val="00B61FFA"/>
    <w:rsid w:val="00B66BAA"/>
    <w:rsid w:val="00B7573F"/>
    <w:rsid w:val="00B807C7"/>
    <w:rsid w:val="00B81F5D"/>
    <w:rsid w:val="00B85F64"/>
    <w:rsid w:val="00BA1A57"/>
    <w:rsid w:val="00BD1428"/>
    <w:rsid w:val="00BE126E"/>
    <w:rsid w:val="00BE18B7"/>
    <w:rsid w:val="00BF2099"/>
    <w:rsid w:val="00C045C5"/>
    <w:rsid w:val="00C61550"/>
    <w:rsid w:val="00C617EF"/>
    <w:rsid w:val="00C713C8"/>
    <w:rsid w:val="00C75FB9"/>
    <w:rsid w:val="00C761D3"/>
    <w:rsid w:val="00CA6327"/>
    <w:rsid w:val="00CB43B1"/>
    <w:rsid w:val="00CE547C"/>
    <w:rsid w:val="00CF28BF"/>
    <w:rsid w:val="00CF3CCA"/>
    <w:rsid w:val="00D0372A"/>
    <w:rsid w:val="00D23877"/>
    <w:rsid w:val="00D51C77"/>
    <w:rsid w:val="00D541DE"/>
    <w:rsid w:val="00D91C7D"/>
    <w:rsid w:val="00DC025E"/>
    <w:rsid w:val="00DC0C06"/>
    <w:rsid w:val="00DE4C1E"/>
    <w:rsid w:val="00DF2743"/>
    <w:rsid w:val="00DF4879"/>
    <w:rsid w:val="00DF4F8C"/>
    <w:rsid w:val="00E02E4D"/>
    <w:rsid w:val="00E235D7"/>
    <w:rsid w:val="00E57AA5"/>
    <w:rsid w:val="00E65713"/>
    <w:rsid w:val="00E72DAB"/>
    <w:rsid w:val="00E84FF5"/>
    <w:rsid w:val="00EA4CD5"/>
    <w:rsid w:val="00EB6A89"/>
    <w:rsid w:val="00EC22CB"/>
    <w:rsid w:val="00EC2D90"/>
    <w:rsid w:val="00EE6D6B"/>
    <w:rsid w:val="00EF13F7"/>
    <w:rsid w:val="00F00533"/>
    <w:rsid w:val="00F469FE"/>
    <w:rsid w:val="00F80E92"/>
    <w:rsid w:val="00F95080"/>
    <w:rsid w:val="00F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836E"/>
  <w15:docId w15:val="{3E1A6E3D-0734-4847-856A-9EAF36C2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CB5"/>
  </w:style>
  <w:style w:type="paragraph" w:styleId="Heading2">
    <w:name w:val="heading 2"/>
    <w:basedOn w:val="Normal"/>
    <w:link w:val="Heading2Char"/>
    <w:uiPriority w:val="9"/>
    <w:qFormat/>
    <w:rsid w:val="00A27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F7690"/>
    <w:rPr>
      <w:b/>
      <w:bCs/>
    </w:rPr>
  </w:style>
  <w:style w:type="paragraph" w:styleId="ListParagraph">
    <w:name w:val="List Paragraph"/>
    <w:basedOn w:val="Normal"/>
    <w:uiPriority w:val="34"/>
    <w:qFormat/>
    <w:rsid w:val="009F7690"/>
    <w:pPr>
      <w:ind w:left="720"/>
      <w:contextualSpacing/>
    </w:pPr>
  </w:style>
  <w:style w:type="paragraph" w:customStyle="1" w:styleId="tv213">
    <w:name w:val="tv213"/>
    <w:basedOn w:val="Normal"/>
    <w:rsid w:val="0026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BD1428"/>
    <w:rPr>
      <w:i/>
      <w:iCs/>
    </w:rPr>
  </w:style>
  <w:style w:type="paragraph" w:styleId="NormalWeb">
    <w:name w:val="Normal (Web)"/>
    <w:basedOn w:val="Normal"/>
    <w:uiPriority w:val="99"/>
    <w:unhideWhenUsed/>
    <w:rsid w:val="00AF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F20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9F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2731F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58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2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48770" TargetMode="External"/><Relationship Id="rId13" Type="http://schemas.openxmlformats.org/officeDocument/2006/relationships/hyperlink" Target="http://www.kuldiga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348770" TargetMode="External"/><Relationship Id="rId12" Type="http://schemas.openxmlformats.org/officeDocument/2006/relationships/hyperlink" Target="https://likumi.lv/ta/id/336956-pasvaldibu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348770" TargetMode="External"/><Relationship Id="rId11" Type="http://schemas.openxmlformats.org/officeDocument/2006/relationships/hyperlink" Target="https://likumi.lv/ta/id/336956-pasvaldibu-likums" TargetMode="External"/><Relationship Id="rId5" Type="http://schemas.openxmlformats.org/officeDocument/2006/relationships/hyperlink" Target="https://likumi.lv/ta/id/3487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kumi.lv/ta/id/348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487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3796</Words>
  <Characters>2164</Characters>
  <Application>Microsoft Office Word</Application>
  <DocSecurity>4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Roberta Balode</cp:lastModifiedBy>
  <cp:revision>2</cp:revision>
  <cp:lastPrinted>2023-05-19T16:12:00Z</cp:lastPrinted>
  <dcterms:created xsi:type="dcterms:W3CDTF">2024-06-05T11:08:00Z</dcterms:created>
  <dcterms:modified xsi:type="dcterms:W3CDTF">2024-06-05T11:08:00Z</dcterms:modified>
</cp:coreProperties>
</file>