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FDF3" w14:textId="77777777" w:rsidR="00396CB5" w:rsidRPr="008B3C76" w:rsidRDefault="00374B7A" w:rsidP="00BF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B3C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PASKAIDROJUMA RAKSTS</w:t>
      </w:r>
    </w:p>
    <w:p w14:paraId="023F38F6" w14:textId="1218CB80" w:rsidR="001C4DC8" w:rsidRPr="008B3C76" w:rsidRDefault="001C4DC8" w:rsidP="00BF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3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Kuldīgas novada </w:t>
      </w:r>
      <w:r w:rsidR="00374B7A" w:rsidRPr="008B3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Pr="008B3C76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 </w:t>
      </w:r>
      <w:r w:rsidR="00021FD7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2F60D4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21BABC58" w14:textId="55ABA49B" w:rsidR="00A11670" w:rsidRPr="00A11670" w:rsidRDefault="00A11670" w:rsidP="00A11670">
      <w:pPr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A11670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“Interešu izglītības programmu licencēšanas un pedagogu profesionālās kompetences pilnveides programmu saskaņošanas kārtība Kuldīgas novada pašvaldībā”</w:t>
      </w:r>
    </w:p>
    <w:p w14:paraId="13D846C0" w14:textId="77777777" w:rsidR="00A11670" w:rsidRPr="00A11670" w:rsidRDefault="00A11670" w:rsidP="00A116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</w:p>
    <w:p w14:paraId="0C985A08" w14:textId="6B1EF1DD" w:rsidR="008B3C76" w:rsidRPr="008B3C76" w:rsidRDefault="008B3C76" w:rsidP="00A11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8B3C76" w:rsidRPr="008B3C76" w14:paraId="4DB09E9C" w14:textId="77777777" w:rsidTr="000C5035">
        <w:tc>
          <w:tcPr>
            <w:tcW w:w="2269" w:type="dxa"/>
          </w:tcPr>
          <w:p w14:paraId="4BC28E1E" w14:textId="77777777" w:rsidR="004D5E82" w:rsidRPr="008B3C76" w:rsidRDefault="00374B7A" w:rsidP="00374B7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 un </w:t>
            </w:r>
            <w:r w:rsidR="004D5E82"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nepieciešamības pamatojums</w:t>
            </w:r>
          </w:p>
        </w:tc>
        <w:tc>
          <w:tcPr>
            <w:tcW w:w="7371" w:type="dxa"/>
          </w:tcPr>
          <w:p w14:paraId="59411257" w14:textId="75371B12" w:rsidR="00172257" w:rsidRPr="00EB756E" w:rsidRDefault="00181DDF" w:rsidP="00172257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</w:t>
            </w:r>
            <w:r w:rsidR="00AF0354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aisto</w:t>
            </w:r>
            <w:r w:rsidR="00374B7A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šo noteikumu izdošanas mērķis</w:t>
            </w:r>
            <w:r w:rsidR="00374B7A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4B7A" w:rsidRPr="00B3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AF0354" w:rsidRPr="00B3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Šo </w:t>
            </w:r>
            <w:r w:rsidR="002A0B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saistošo </w:t>
            </w:r>
            <w:r w:rsidR="00172257" w:rsidRPr="0017225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noteikumu izdošanas mērķis ir nodrošināt Kuldīgas novada 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domes</w:t>
            </w:r>
            <w:r w:rsidR="00172257" w:rsidRPr="0017225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saistošo noteikumu Nr.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172257" w:rsidRPr="0017225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KNP/2021/15l “Par kārtību pieaugušo neformālās izglītības programmu licencēšanai un pedagogu profesionālās kompetences pilnveides A programmu saskaņošanai” atbilstību spēkā esošajam tiesiskajam regulējumam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t.i., jāizdod jauni saistošie noteikumi, kuri neietver </w:t>
            </w:r>
            <w:r w:rsidR="0075245B" w:rsidRP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kārtību, kādā tiek izsniegtas atļaujas neformālās izglītības programmas īstenošanai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3BE94EA3" w14:textId="5773FECB" w:rsidR="00EB756E" w:rsidRPr="00EB756E" w:rsidRDefault="00181DDF" w:rsidP="00EB756E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56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AF0354" w:rsidRPr="00EB756E">
              <w:rPr>
                <w:rFonts w:ascii="Times New Roman" w:hAnsi="Times New Roman" w:cs="Times New Roman"/>
                <w:i/>
                <w:sz w:val="24"/>
                <w:szCs w:val="24"/>
              </w:rPr>
              <w:t>roblēmas raksturojums, kuras risināšanai nepieciešami saistošie noteikumi</w:t>
            </w:r>
            <w:r w:rsidR="00AF0354" w:rsidRPr="00EB75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245B">
              <w:rPr>
                <w:rFonts w:ascii="Times New Roman" w:hAnsi="Times New Roman" w:cs="Times New Roman"/>
                <w:sz w:val="24"/>
                <w:szCs w:val="24"/>
              </w:rPr>
              <w:t>Šobrīd spēkā esošie s</w:t>
            </w:r>
            <w:r w:rsidR="00D90BE0" w:rsidRPr="00EB756E">
              <w:rPr>
                <w:rFonts w:ascii="Times New Roman" w:hAnsi="Times New Roman" w:cs="Times New Roman"/>
                <w:sz w:val="24"/>
                <w:szCs w:val="24"/>
              </w:rPr>
              <w:t xml:space="preserve">aistošie noteikumi </w:t>
            </w:r>
            <w:r w:rsidR="00C5210D" w:rsidRPr="00EB756E"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="00D90BE0" w:rsidRPr="00EB756E">
              <w:rPr>
                <w:rFonts w:ascii="Times New Roman" w:hAnsi="Times New Roman" w:cs="Times New Roman"/>
                <w:sz w:val="24"/>
                <w:szCs w:val="24"/>
              </w:rPr>
              <w:t xml:space="preserve">izdoti saskaņā ar </w:t>
            </w:r>
            <w:r w:rsidR="00D90BE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Izglītības likuma 17.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D90BE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panta trešās daļas 16.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D90BE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punkt</w:t>
            </w:r>
            <w:r w:rsidR="00CA01F3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u</w:t>
            </w:r>
            <w:r w:rsidR="00C5210D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14.11.2022. stājās spēkā grozījumi Izglītības likum</w:t>
            </w:r>
            <w:r w:rsidR="004E6AB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a 17.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4E6AB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panta trešās daļas 16.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4E6AB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punktā</w:t>
            </w:r>
            <w:r w:rsidR="00C5210D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  <w:r w:rsidR="00D90BE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kurā bija</w:t>
            </w:r>
            <w:r w:rsidR="00D90BE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068E9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no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teikts</w:t>
            </w:r>
            <w:r w:rsidR="00C5210D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ka pašvaldība </w:t>
            </w:r>
            <w:r w:rsidR="0075245B" w:rsidRP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nodrošina bērnu un jauniešu interešu izglītību, izsniedz licences interešu izglītības programmu īstenošanai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bet pēc grozījumu spēkā stāšanās ir noteikts, ka pašvaldība </w:t>
            </w:r>
            <w:r w:rsidR="00C5210D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izsniedz licences interešu izglītības un atļaujas neformālās izglītības programmu īstenošanai</w:t>
            </w:r>
            <w:r w:rsidR="004E6AB0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BD5A03">
              <w:t xml:space="preserve"> </w:t>
            </w:r>
            <w:r w:rsidR="00BD5A03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Vides aizsardzības un reģionālās attīstības ministrija 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03.03.</w:t>
            </w:r>
            <w:r w:rsidR="00BD5A03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2023. vēstulē Nr.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BD5A03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1-132/1299 informēja pašvaldīb</w:t>
            </w:r>
            <w:r w:rsid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as</w:t>
            </w:r>
            <w:r w:rsidR="00BD5A03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ka saistošie noteikumi par kārtību, kādā notiek interešu izglītības programmu un pieaugušo neformālās izglītības programmu licencēšana, kas izdoti uz Izglītības likuma 17.</w:t>
            </w:r>
            <w:r w:rsidR="0097494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BD5A03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panta trešās daļas 16.</w:t>
            </w:r>
            <w:r w:rsidR="0097494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BD5A03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punkta pamata, ir grozāmi, grozot to izdošanas tiesisko pamatojumu uz Pašvaldību likuma 44. panta otro daļu. </w:t>
            </w:r>
            <w:r w:rsidR="00BD5A03" w:rsidRPr="00EB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A03" w:rsidRPr="00EB756E">
              <w:rPr>
                <w:rFonts w:ascii="Times New Roman" w:hAnsi="Times New Roman" w:cs="Times New Roman"/>
                <w:sz w:val="24"/>
                <w:szCs w:val="24"/>
              </w:rPr>
              <w:t>.07.2023. tika pieņemti Ministru kabineta noteikumi Nr.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5A03" w:rsidRPr="00EB756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BD5A03" w:rsidRPr="002A0B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“Kārtība, kādā tiek izsniegtas atļaujas neformālās izglītības programmas īstenošanai”,</w:t>
            </w:r>
            <w:r w:rsidR="00BD5A03" w:rsidRPr="00EB7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D5A03" w:rsidRPr="002A0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kas nosaka vienotu kārtību, kādā pašvaldība izsniedz un anulē atļauju neformālās izglītības programmas īstenošanai</w:t>
            </w:r>
            <w:r w:rsidR="00CE7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BD5A03" w:rsidRPr="00EB75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tādējādi pašvaldībām</w:t>
            </w:r>
            <w:r w:rsidR="00480B58" w:rsidRPr="00EB75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šāda kārtība ar saistošajiem noteikumiem nav jānosaka.</w:t>
            </w:r>
            <w:r w:rsidR="007068E9" w:rsidRPr="00EB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1F3" w:rsidRPr="00EB756E">
              <w:rPr>
                <w:rFonts w:ascii="Times New Roman" w:hAnsi="Times New Roman" w:cs="Times New Roman"/>
                <w:sz w:val="24"/>
                <w:szCs w:val="24"/>
              </w:rPr>
              <w:t>Pašvaldību likuma 44. panta otr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>ajā</w:t>
            </w:r>
            <w:r w:rsidR="00CA01F3" w:rsidRPr="00EB756E">
              <w:rPr>
                <w:rFonts w:ascii="Times New Roman" w:hAnsi="Times New Roman" w:cs="Times New Roman"/>
                <w:sz w:val="24"/>
                <w:szCs w:val="24"/>
              </w:rPr>
              <w:t xml:space="preserve"> daļ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A01F3" w:rsidRPr="00EB756E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>teikts</w:t>
            </w:r>
            <w:r w:rsidR="00CA01F3" w:rsidRPr="00EB756E">
              <w:rPr>
                <w:rFonts w:ascii="Times New Roman" w:hAnsi="Times New Roman" w:cs="Times New Roman"/>
                <w:sz w:val="24"/>
                <w:szCs w:val="24"/>
              </w:rPr>
              <w:t>, ka dome var izdot saistošos noteikumus, lai nodrošinātu pašvaldības autonomo funkciju un brī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>vprātīgo iniciatīvu izpildi</w:t>
            </w:r>
            <w:r w:rsidR="00CA01F3" w:rsidRPr="00EB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2CF" w:rsidRPr="00EB756E">
              <w:rPr>
                <w:rFonts w:ascii="Times New Roman" w:hAnsi="Times New Roman" w:cs="Times New Roman"/>
                <w:sz w:val="24"/>
                <w:szCs w:val="24"/>
              </w:rPr>
              <w:t>Saskaņā ar šā likuma 4.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42CF" w:rsidRPr="00EB756E">
              <w:rPr>
                <w:rFonts w:ascii="Times New Roman" w:hAnsi="Times New Roman" w:cs="Times New Roman"/>
                <w:sz w:val="24"/>
                <w:szCs w:val="24"/>
              </w:rPr>
              <w:t>panta pirmās daļas 4.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42CF" w:rsidRPr="00EB756E">
              <w:rPr>
                <w:rFonts w:ascii="Times New Roman" w:hAnsi="Times New Roman" w:cs="Times New Roman"/>
                <w:sz w:val="24"/>
                <w:szCs w:val="24"/>
              </w:rPr>
              <w:t>punktu vi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 xml:space="preserve">ena no pašvaldības autonomajām </w:t>
            </w:r>
            <w:r w:rsidR="00FC42CF" w:rsidRPr="00EB756E">
              <w:rPr>
                <w:rFonts w:ascii="Times New Roman" w:hAnsi="Times New Roman" w:cs="Times New Roman"/>
                <w:sz w:val="24"/>
                <w:szCs w:val="24"/>
              </w:rPr>
              <w:t xml:space="preserve">funkcijām ir gādāt par 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 xml:space="preserve">iedzīvotāju izglītību, tostarp </w:t>
            </w:r>
            <w:r w:rsidR="00FC42CF" w:rsidRPr="00EB756E">
              <w:rPr>
                <w:rFonts w:ascii="Times New Roman" w:hAnsi="Times New Roman" w:cs="Times New Roman"/>
                <w:sz w:val="24"/>
                <w:szCs w:val="24"/>
              </w:rPr>
              <w:t>gādāt par interešu izglītības un p</w:t>
            </w:r>
            <w:r w:rsidR="00974948">
              <w:rPr>
                <w:rFonts w:ascii="Times New Roman" w:hAnsi="Times New Roman" w:cs="Times New Roman"/>
                <w:sz w:val="24"/>
                <w:szCs w:val="24"/>
              </w:rPr>
              <w:t>ieaugušo izglītības pieejamību.</w:t>
            </w:r>
          </w:p>
          <w:p w14:paraId="7DB1C139" w14:textId="258E8C92" w:rsidR="00CC5659" w:rsidRPr="00EB756E" w:rsidRDefault="00181DDF" w:rsidP="00EB756E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</w:t>
            </w:r>
            <w:r w:rsidR="00374B7A" w:rsidRPr="00EB7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astāvošais tiesiskais regulējums, tā būtības skaidrojums un pastāvošā tiesiskā regulējuma nepilnību raksturojums</w:t>
            </w:r>
            <w:r w:rsidR="00374B7A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7524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5659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Kuldīgas novada domes saistošajos noteikumos </w:t>
            </w:r>
            <w:r w:rsidR="00EB756E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Nr.</w:t>
            </w:r>
            <w:r w:rsidR="0097494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EB756E" w:rsidRPr="00EB756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KNP/2021/15l “Par kārtību pieaugušo neformālās izglītības programmu licencēšanai un pedagogu profesionālās kompetences pilnveides A programmu saskaņošanai” </w:t>
            </w:r>
            <w:r w:rsidR="00CC5659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daļa par pieaugušo neformālās izglītības programmu licencēšanu.</w:t>
            </w:r>
            <w:r w:rsidR="005E49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5659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likum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grozījumos</w:t>
            </w:r>
            <w:r w:rsidR="00CC5659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stājās spēkā 11.10.2022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</w:t>
            </w:r>
            <w:r w:rsidR="00CC5659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A7043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A7043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pants tika papildināts ar </w:t>
            </w:r>
            <w:r w:rsidR="00BA7043" w:rsidRPr="00EB756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BA7043" w:rsidRPr="00EB75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A7043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punktu, kas noteic, ka Ministru kabinets nosaka kārtību, kādā tiek izsniegtas atļaujas neformālās izglītības programmas īstenošanai</w:t>
            </w:r>
            <w:r w:rsidR="00C7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Tādējādi pašvaldībai pēc minēto grozījumu spēkā stāšanās vairs nav tiesiska pamata 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noteikt kārtību</w:t>
            </w:r>
            <w:r w:rsidR="00974948" w:rsidRPr="007524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kādā tiek izsniegtas atļaujas neformālās izglītības programmas īstenošanai</w:t>
            </w:r>
          </w:p>
          <w:p w14:paraId="053C960A" w14:textId="49781ABC" w:rsidR="00374B7A" w:rsidRPr="00EB756E" w:rsidRDefault="00181DDF" w:rsidP="00EB756E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j</w:t>
            </w:r>
            <w:r w:rsidR="00374B7A" w:rsidRPr="00EB7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 norādītās problēmas risināšanai nav tiesiskā regulējuma, tad skaidro, kādas sekas rada tiesiskā regulējuma neesamība</w:t>
            </w:r>
            <w:r w:rsidR="003907BD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="00A56E22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</w:t>
            </w:r>
            <w:r w:rsidR="00A56E22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astāvošs tiesiskais regulējums.</w:t>
            </w:r>
          </w:p>
          <w:p w14:paraId="0054BBAD" w14:textId="12DC75D5" w:rsidR="004D5E82" w:rsidRPr="00EB756E" w:rsidRDefault="00374B7A" w:rsidP="00974948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iespējamo alternatīvu, kas neparedz tiesiskā regulējuma izstrādi, raksturojums, to ieviešanas trūkumi un priekšrocības</w:t>
            </w:r>
            <w:r w:rsidR="003907BD" w:rsidRPr="00EB7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="00C7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C7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</w:t>
            </w:r>
            <w:r w:rsid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B3C76" w:rsidRPr="008B3C76" w14:paraId="359FD054" w14:textId="77777777" w:rsidTr="00BD3DC5">
        <w:tc>
          <w:tcPr>
            <w:tcW w:w="2269" w:type="dxa"/>
          </w:tcPr>
          <w:p w14:paraId="0BC19A72" w14:textId="2E765936" w:rsidR="004D5E82" w:rsidRPr="00BD3DC5" w:rsidRDefault="004D5E82" w:rsidP="00BD3DC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Fiskālā ietekme uz pašvaldības budžetu</w:t>
            </w:r>
          </w:p>
        </w:tc>
        <w:tc>
          <w:tcPr>
            <w:tcW w:w="7371" w:type="dxa"/>
          </w:tcPr>
          <w:p w14:paraId="1D4ECC20" w14:textId="576E5EEE" w:rsidR="001F397E" w:rsidRPr="00FD114F" w:rsidRDefault="007828E9" w:rsidP="00BD3DC5">
            <w:pPr>
              <w:pStyle w:val="tv213"/>
              <w:numPr>
                <w:ilvl w:val="1"/>
                <w:numId w:val="2"/>
              </w:numPr>
              <w:shd w:val="clear" w:color="auto" w:fill="FFFFFF"/>
              <w:spacing w:before="300" w:beforeAutospacing="0" w:after="0" w:afterAutospacing="0" w:line="254" w:lineRule="atLeast"/>
              <w:ind w:left="483"/>
              <w:jc w:val="both"/>
              <w:rPr>
                <w:shd w:val="clear" w:color="auto" w:fill="FFFFFF"/>
              </w:rPr>
            </w:pPr>
            <w:r w:rsidRPr="000F0912">
              <w:rPr>
                <w:i/>
                <w:shd w:val="clear" w:color="auto" w:fill="FFFFFF"/>
              </w:rPr>
              <w:t>S</w:t>
            </w:r>
            <w:r w:rsidR="0046704C" w:rsidRPr="000F0912">
              <w:rPr>
                <w:i/>
                <w:shd w:val="clear" w:color="auto" w:fill="FFFFFF"/>
              </w:rPr>
              <w:t>aistošo noteikumu īstenošanas fiskālās ietekmes prognoze uz pašvaldības budžetu</w:t>
            </w:r>
            <w:r w:rsidR="0046704C" w:rsidRPr="000F0912">
              <w:rPr>
                <w:shd w:val="clear" w:color="auto" w:fill="FFFFFF"/>
              </w:rPr>
              <w:t xml:space="preserve"> – </w:t>
            </w:r>
            <w:r w:rsidR="00974948">
              <w:rPr>
                <w:shd w:val="clear" w:color="auto" w:fill="FFFFFF"/>
              </w:rPr>
              <w:t>S</w:t>
            </w:r>
            <w:r w:rsidR="0046704C" w:rsidRPr="000F0912">
              <w:rPr>
                <w:shd w:val="clear" w:color="auto" w:fill="FFFFFF"/>
              </w:rPr>
              <w:t xml:space="preserve">aistošo noteikumu īstenošanas rezultātā </w:t>
            </w:r>
            <w:r w:rsidR="00F35FB7" w:rsidRPr="00F35FB7">
              <w:rPr>
                <w:bCs/>
                <w:lang w:eastAsia="en-US"/>
              </w:rPr>
              <w:t xml:space="preserve">nav tiešas ietekmes uz pašvaldības </w:t>
            </w:r>
            <w:r w:rsidR="00F35FB7" w:rsidRPr="00974948">
              <w:rPr>
                <w:bCs/>
                <w:lang w:eastAsia="en-US"/>
              </w:rPr>
              <w:t>budžetu.</w:t>
            </w:r>
            <w:r w:rsidR="000F0912" w:rsidRPr="00974948">
              <w:rPr>
                <w:shd w:val="clear" w:color="auto" w:fill="FFFFFF"/>
              </w:rPr>
              <w:t xml:space="preserve"> </w:t>
            </w:r>
            <w:r w:rsidR="00974948" w:rsidRPr="00974948">
              <w:rPr>
                <w:bCs/>
                <w:lang w:eastAsia="en-US"/>
              </w:rPr>
              <w:t>Saistošo noteikumu</w:t>
            </w:r>
            <w:r w:rsidR="00974948" w:rsidRPr="0097494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974948" w:rsidRPr="00974948">
              <w:rPr>
                <w:rFonts w:eastAsia="Calibri"/>
                <w:shd w:val="clear" w:color="auto" w:fill="FFFFFF"/>
                <w:lang w:eastAsia="en-US"/>
              </w:rPr>
              <w:t>īstenošana neietekmēs pašvaldībai pieejamos resursus, jo nav nepieciešama jaunu institūciju vai darba vietu izveide, vai esošo institūciju kompetences paplašināšanu, lai nodrošinātu saistošo noteikumu izpildi.</w:t>
            </w:r>
          </w:p>
          <w:p w14:paraId="72F9B0C1" w14:textId="005B4F8C" w:rsidR="0046704C" w:rsidRPr="000F0912" w:rsidRDefault="003907BD" w:rsidP="00BD3DC5">
            <w:pPr>
              <w:pStyle w:val="NormalWeb"/>
              <w:numPr>
                <w:ilvl w:val="2"/>
                <w:numId w:val="2"/>
              </w:numPr>
              <w:shd w:val="clear" w:color="auto" w:fill="FFFFFF"/>
              <w:spacing w:before="0" w:beforeAutospacing="0" w:after="0" w:afterAutospacing="0"/>
              <w:ind w:hanging="625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0F0912">
              <w:rPr>
                <w:rFonts w:eastAsiaTheme="minorHAnsi"/>
                <w:i/>
                <w:shd w:val="clear" w:color="auto" w:fill="FFFFFF"/>
                <w:lang w:eastAsia="en-US"/>
              </w:rPr>
              <w:t>samazina vai palielina ieņēmumu daļu</w:t>
            </w:r>
            <w:r w:rsidRPr="000F0912">
              <w:rPr>
                <w:rFonts w:eastAsiaTheme="minorHAnsi"/>
                <w:shd w:val="clear" w:color="auto" w:fill="FFFFFF"/>
                <w:lang w:eastAsia="en-US"/>
              </w:rPr>
              <w:t xml:space="preserve"> – </w:t>
            </w:r>
            <w:r w:rsidR="00974948">
              <w:rPr>
                <w:rFonts w:eastAsiaTheme="minorHAnsi"/>
                <w:shd w:val="clear" w:color="auto" w:fill="FFFFFF"/>
                <w:lang w:eastAsia="en-US"/>
              </w:rPr>
              <w:t>N</w:t>
            </w:r>
            <w:r w:rsidR="00F35FB7">
              <w:rPr>
                <w:rFonts w:eastAsiaTheme="minorHAnsi"/>
                <w:shd w:val="clear" w:color="auto" w:fill="FFFFFF"/>
                <w:lang w:eastAsia="en-US"/>
              </w:rPr>
              <w:t>av</w:t>
            </w:r>
            <w:r w:rsidR="00974948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14:paraId="6FFEC0BD" w14:textId="4A075798" w:rsidR="003907BD" w:rsidRPr="000F0912" w:rsidRDefault="003907BD" w:rsidP="00BD3DC5">
            <w:pPr>
              <w:pStyle w:val="NormalWeb"/>
              <w:numPr>
                <w:ilvl w:val="2"/>
                <w:numId w:val="2"/>
              </w:numPr>
              <w:shd w:val="clear" w:color="auto" w:fill="FFFFFF"/>
              <w:spacing w:before="0" w:beforeAutospacing="0" w:after="0" w:afterAutospacing="0"/>
              <w:ind w:hanging="625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0F0912">
              <w:rPr>
                <w:rFonts w:eastAsiaTheme="minorHAnsi"/>
                <w:i/>
                <w:shd w:val="clear" w:color="auto" w:fill="FFFFFF"/>
                <w:lang w:eastAsia="en-US"/>
              </w:rPr>
              <w:t>samazina vai palielina izdevumu daļu</w:t>
            </w:r>
            <w:r w:rsidRPr="000F0912">
              <w:rPr>
                <w:rFonts w:eastAsiaTheme="minorHAnsi"/>
                <w:shd w:val="clear" w:color="auto" w:fill="FFFFFF"/>
                <w:lang w:eastAsia="en-US"/>
              </w:rPr>
              <w:t xml:space="preserve"> – </w:t>
            </w:r>
            <w:r w:rsidR="00974948">
              <w:rPr>
                <w:rFonts w:eastAsiaTheme="minorHAnsi"/>
                <w:shd w:val="clear" w:color="auto" w:fill="FFFFFF"/>
                <w:lang w:eastAsia="en-US"/>
              </w:rPr>
              <w:t>N</w:t>
            </w:r>
            <w:r w:rsidR="00F35FB7">
              <w:rPr>
                <w:rFonts w:eastAsiaTheme="minorHAnsi"/>
                <w:shd w:val="clear" w:color="auto" w:fill="FFFFFF"/>
                <w:lang w:eastAsia="en-US"/>
              </w:rPr>
              <w:t>av</w:t>
            </w:r>
            <w:r w:rsidR="00974948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14:paraId="5DD0FDA7" w14:textId="06199F58" w:rsidR="00444F40" w:rsidRPr="00974948" w:rsidRDefault="004F622B" w:rsidP="00444F40">
            <w:pPr>
              <w:pStyle w:val="NormalWeb"/>
              <w:numPr>
                <w:ilvl w:val="2"/>
                <w:numId w:val="2"/>
              </w:numPr>
              <w:shd w:val="clear" w:color="auto" w:fill="FFFFFF"/>
              <w:spacing w:before="0" w:beforeAutospacing="0" w:after="0" w:afterAutospacing="0"/>
              <w:ind w:hanging="625"/>
              <w:jc w:val="both"/>
              <w:rPr>
                <w:shd w:val="clear" w:color="auto" w:fill="FFFFFF"/>
              </w:rPr>
            </w:pPr>
            <w:r w:rsidRPr="000F0912">
              <w:rPr>
                <w:rFonts w:eastAsiaTheme="minorHAnsi"/>
                <w:i/>
                <w:shd w:val="clear" w:color="auto" w:fill="FFFFFF"/>
                <w:lang w:eastAsia="en-US"/>
              </w:rPr>
              <w:t>ietekme uz citām pozīcijām budžeta ieņēmumu vai izdevumu daļā</w:t>
            </w:r>
            <w:r w:rsidRPr="000F0912">
              <w:rPr>
                <w:rFonts w:eastAsiaTheme="minorHAnsi"/>
                <w:shd w:val="clear" w:color="auto" w:fill="FFFFFF"/>
                <w:lang w:eastAsia="en-US"/>
              </w:rPr>
              <w:t xml:space="preserve"> –</w:t>
            </w:r>
            <w:r w:rsidR="00974948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="003907BD" w:rsidRPr="000F0912">
              <w:rPr>
                <w:i/>
                <w:shd w:val="clear" w:color="auto" w:fill="FFFFFF"/>
              </w:rPr>
              <w:t>Informācija par nepieciešamajiem resursiem sakarā ar jaunu institūciju vai darba vietu veidošanu, esošo institūciju kompetences paplašināšanu, lai nodrošinātu saistošo noteikumu izpildi</w:t>
            </w:r>
            <w:r w:rsidR="003907BD" w:rsidRPr="000F0912">
              <w:rPr>
                <w:shd w:val="clear" w:color="auto" w:fill="FFFFFF"/>
              </w:rPr>
              <w:t xml:space="preserve"> – </w:t>
            </w:r>
            <w:r w:rsidR="00974948">
              <w:rPr>
                <w:shd w:val="clear" w:color="auto" w:fill="FFFFFF"/>
              </w:rPr>
              <w:t>Nav.</w:t>
            </w:r>
          </w:p>
        </w:tc>
      </w:tr>
      <w:tr w:rsidR="008B3C76" w:rsidRPr="008B3C76" w14:paraId="7566B627" w14:textId="77777777" w:rsidTr="000C5035">
        <w:tc>
          <w:tcPr>
            <w:tcW w:w="2269" w:type="dxa"/>
          </w:tcPr>
          <w:p w14:paraId="4F07E621" w14:textId="77777777" w:rsidR="004D5E82" w:rsidRPr="008B3C76" w:rsidRDefault="004D5E82" w:rsidP="00BD3DC5">
            <w:pPr>
              <w:pStyle w:val="ListParagraph"/>
              <w:numPr>
                <w:ilvl w:val="0"/>
                <w:numId w:val="2"/>
              </w:numPr>
              <w:ind w:left="176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</w:t>
            </w:r>
          </w:p>
          <w:p w14:paraId="7D1461FE" w14:textId="77777777" w:rsidR="004D5E82" w:rsidRPr="008B3C76" w:rsidRDefault="004D5E82" w:rsidP="000C5035">
            <w:pPr>
              <w:ind w:left="176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1" w:type="dxa"/>
          </w:tcPr>
          <w:p w14:paraId="12003D98" w14:textId="2A9AC611" w:rsidR="00E235D7" w:rsidRPr="00974948" w:rsidRDefault="007828E9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</w:t>
            </w:r>
            <w:r w:rsidR="00E235D7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ociālā ietekme</w:t>
            </w:r>
            <w:r w:rsidR="00E235D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35D7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– ietekme uz cilvēku dzīvesveidu, kultūru, labsajūtu, sabiedrību kopumā, kā arī ietekme uz konkrētām sabiedrības grupām, tai skaitā sociālās atstumtības riskam</w:t>
            </w: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pakļautajām sabiedrības grupām</w:t>
            </w:r>
            <w:r w:rsidR="003907BD" w:rsidRPr="008B3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3907BD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personu ar invaliditāti vienlīdzīgām iespējām un tiesībām, uz dzimumu līdztiesību</w:t>
            </w:r>
            <w:r w:rsidR="003907BD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="0097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4948" w:rsidRPr="00974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 un konkurenci nav paredzēta.</w:t>
            </w:r>
          </w:p>
          <w:p w14:paraId="2E47AE7C" w14:textId="19D2F8F4" w:rsidR="00E235D7" w:rsidRPr="008B3C76" w:rsidRDefault="007828E9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="00E235D7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etekme uz vidi</w:t>
            </w:r>
            <w:r w:rsidR="00E235D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974948" w:rsidRPr="0097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Nav.</w:t>
            </w:r>
          </w:p>
          <w:p w14:paraId="0EFDA2B7" w14:textId="5F9750DB" w:rsidR="00E235D7" w:rsidRPr="008B3C76" w:rsidRDefault="007828E9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="00E235D7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etekme uz iedzīvotāju veselību</w:t>
            </w:r>
            <w:r w:rsidR="00E235D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974948" w:rsidRPr="0097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Nav.</w:t>
            </w:r>
          </w:p>
          <w:p w14:paraId="33580DE3" w14:textId="39DB5CB9" w:rsidR="00E235D7" w:rsidRPr="008B3C76" w:rsidRDefault="007828E9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="00E235D7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etekme uz uzņēmējdarbības vidi pašvaldības teritorijā</w:t>
            </w:r>
            <w:r w:rsidR="00E235D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974948" w:rsidRPr="0097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Nav.</w:t>
            </w:r>
          </w:p>
          <w:p w14:paraId="54199B46" w14:textId="6953DC4C" w:rsidR="00444F40" w:rsidRPr="00974948" w:rsidRDefault="007828E9" w:rsidP="00974948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="00E235D7"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etekme uz konkurenci</w:t>
            </w:r>
            <w:r w:rsidR="00E235D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97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Nav.</w:t>
            </w:r>
          </w:p>
        </w:tc>
      </w:tr>
      <w:tr w:rsidR="008B3C76" w:rsidRPr="008B3C76" w14:paraId="72989E64" w14:textId="77777777" w:rsidTr="000C5035">
        <w:tc>
          <w:tcPr>
            <w:tcW w:w="2269" w:type="dxa"/>
          </w:tcPr>
          <w:p w14:paraId="0066DB53" w14:textId="77777777" w:rsidR="004D5E82" w:rsidRPr="008B3C76" w:rsidRDefault="00B171CB" w:rsidP="00BD3DC5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</w:t>
            </w:r>
          </w:p>
        </w:tc>
        <w:tc>
          <w:tcPr>
            <w:tcW w:w="7371" w:type="dxa"/>
          </w:tcPr>
          <w:p w14:paraId="29A86980" w14:textId="3BCC3D28" w:rsidR="000B42CF" w:rsidRPr="00314729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Institūcija, kurā privātpersona var vērsties saistošo noteikumu piemērošanā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="00BB1BCD" w:rsidRPr="00BB1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7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0A5019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aistošo noteikumu piemērošanā personas var vērsties Kuldīgas novada </w:t>
            </w:r>
            <w:r w:rsidR="00BB1BCD">
              <w:rPr>
                <w:rFonts w:ascii="Times New Roman" w:hAnsi="Times New Roman" w:cs="Times New Roman"/>
                <w:sz w:val="24"/>
                <w:szCs w:val="24"/>
              </w:rPr>
              <w:t>Izglītības pārvald</w:t>
            </w:r>
            <w:r w:rsidR="000A5019"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</w:p>
          <w:p w14:paraId="01B2D25A" w14:textId="412B286C" w:rsidR="00314729" w:rsidRPr="00314729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7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Galvenie procedūras posmi un privātpersonām veicamās darbības, ko paredz saistošo noteikumu projekts, tai skaitā akcentē, kā piedāvātais regulējums maina līdzšinējo kārtību</w:t>
            </w:r>
            <w:r w:rsidRPr="00314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CA5629" w:rsidRPr="00314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aistošie noteikumi </w:t>
            </w:r>
            <w:r w:rsidR="00CA5629" w:rsidRPr="003147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paredz vienotu kārtību, kādā </w:t>
            </w:r>
            <w:r w:rsidR="00CA5629" w:rsidRPr="003147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novada pašvaldība izsniedz</w:t>
            </w:r>
            <w:r w:rsidR="00CA5629" w:rsidRPr="00314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licences interešu izglītības programmu īstenošanai, kārtību, kādā tiek anulētas licences, kā arī kārtību, kādā pašvaldība saskaņo pedagogu profesionālās kompetences pilnveides programmas</w:t>
            </w:r>
            <w:r w:rsidR="00CA5629" w:rsidRPr="0031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D52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Jaunais regulējums nemaina esošo </w:t>
            </w:r>
            <w:r w:rsidR="00D52D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kārtību licenču un saskaņojumu saņemšanā. </w:t>
            </w:r>
            <w:r w:rsidR="000A5019" w:rsidRPr="0031472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Saistošo noteikumu izpildi nodrošina Kuldīgas novada pašvaldības dome</w:t>
            </w:r>
            <w:r w:rsidR="00D52D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s izveidota Izglītības komisija, kura </w:t>
            </w:r>
            <w:r w:rsidR="000A5019" w:rsidRPr="0031472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pieņem</w:t>
            </w:r>
            <w:r w:rsidR="00D52D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lēmumus par licenču un saskaņojumu saņemšanu.</w:t>
            </w:r>
          </w:p>
          <w:p w14:paraId="2E6BA4A8" w14:textId="6008625E" w:rsidR="000C5035" w:rsidRPr="00314729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7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Paredzētās administratīvo procedūru izmaksas</w:t>
            </w:r>
            <w:r w:rsidRPr="00314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D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541933" w:rsidRPr="00314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 šiem saistošajiem noteik</w:t>
            </w:r>
            <w:r w:rsidRPr="00314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umiem netiek paredzētas papildu</w:t>
            </w:r>
            <w:r w:rsidR="00541933" w:rsidRPr="00314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administratīvo procedūru izmaksas.</w:t>
            </w:r>
          </w:p>
        </w:tc>
      </w:tr>
      <w:tr w:rsidR="008B3C76" w:rsidRPr="008B3C76" w14:paraId="6E686BFD" w14:textId="77777777" w:rsidTr="000C5035">
        <w:tc>
          <w:tcPr>
            <w:tcW w:w="2269" w:type="dxa"/>
          </w:tcPr>
          <w:p w14:paraId="6401489A" w14:textId="77777777" w:rsidR="00AA50F3" w:rsidRPr="008B3C76" w:rsidRDefault="00AA50F3" w:rsidP="00BD3DC5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Ietekme uz pašvaldības funkcijām un </w:t>
            </w:r>
            <w:r w:rsidRPr="003D5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cilvēkresursiem </w:t>
            </w:r>
          </w:p>
        </w:tc>
        <w:tc>
          <w:tcPr>
            <w:tcW w:w="7371" w:type="dxa"/>
          </w:tcPr>
          <w:p w14:paraId="204B39E7" w14:textId="62967929" w:rsidR="004424DD" w:rsidRPr="004424DD" w:rsidRDefault="004F622B" w:rsidP="00BD3DC5">
            <w:pPr>
              <w:pStyle w:val="ListParagraph"/>
              <w:numPr>
                <w:ilvl w:val="1"/>
                <w:numId w:val="2"/>
              </w:numPr>
              <w:ind w:left="4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Pašvaldību funkcijas, kuru izpildei tiek izstrādāti šie saistošie noteikumi</w:t>
            </w:r>
            <w:r w:rsidRPr="004424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D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4424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askaņā ar </w:t>
            </w:r>
            <w:r w:rsidR="00AA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Pašvaldības likuma 44.</w:t>
            </w:r>
            <w:r w:rsid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A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otro daļu</w:t>
            </w:r>
            <w:r w:rsidR="00CD5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24DD" w:rsidRPr="00CD5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tiek nodrošinātas </w:t>
            </w:r>
            <w:r w:rsid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pašvaldības autonomā funkcija – </w:t>
            </w:r>
            <w:r w:rsidR="00D52DD0" w:rsidRP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gādāt par iedzīvotāju </w:t>
            </w:r>
            <w:r w:rsidR="00D52DD0" w:rsidRP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izglītību, tostarp gādāt par interešu izglītības un pieaugušo izglītības pieejamību</w:t>
            </w:r>
            <w:r w:rsid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0F9135C" w14:textId="2AA366B8" w:rsidR="00F005FB" w:rsidRPr="00F005FB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Pašvaldības cilvēkresursi, kas tiks iesaistīti saistošo noteikumu īstenošanā (tostarp, vai tiks uzlikti jauni pienākumi vai uzdevumi esošajiem darbiniekiem, veidotas jaunas darba vietas u.tml.)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D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5263B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aistošo noteik</w:t>
            </w:r>
            <w:r w:rsidR="000C5035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umu īstenošana neparedz papildu</w:t>
            </w:r>
            <w:r w:rsidR="005263B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cilvēkresursu iesaisti</w:t>
            </w:r>
            <w:r w:rsidR="00F005FB" w:rsidRPr="00F00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Netiks uzlikti jauni pienākumi vai uzdevumi esošajiem darbiniekiem, kā arī netiks veidotas jaunas darba vietas. </w:t>
            </w:r>
          </w:p>
        </w:tc>
      </w:tr>
      <w:tr w:rsidR="008B3C76" w:rsidRPr="008B3C76" w14:paraId="65B5F67C" w14:textId="77777777" w:rsidTr="000C5035">
        <w:tc>
          <w:tcPr>
            <w:tcW w:w="2269" w:type="dxa"/>
          </w:tcPr>
          <w:p w14:paraId="3703B243" w14:textId="77777777" w:rsidR="00AA50F3" w:rsidRPr="008B3C76" w:rsidRDefault="00AA50F3" w:rsidP="00BD3DC5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Informācija par izpildes nodrošināšanu </w:t>
            </w:r>
          </w:p>
        </w:tc>
        <w:tc>
          <w:tcPr>
            <w:tcW w:w="7371" w:type="dxa"/>
          </w:tcPr>
          <w:p w14:paraId="23DA8231" w14:textId="28D86F23" w:rsidR="007828E9" w:rsidRPr="008B3C76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Saistošo noteikumu izpildē iesaistītās institūcijas, tai skaitā, vai paredzēta jaunu institūciju izveide, esošo likvidācija vai reorganizācija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D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5263B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aistošo noteikumu izpildi turpinās </w:t>
            </w:r>
            <w:r w:rsid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Izglītības k</w:t>
            </w:r>
            <w:r w:rsidR="00615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omisija,</w:t>
            </w:r>
            <w:r w:rsidR="00BF2099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5035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tādējādi</w:t>
            </w:r>
            <w:r w:rsidR="005263B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nav nepieci</w:t>
            </w:r>
            <w:r w:rsidR="007828E9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ešama jaunu institūciju izveide.</w:t>
            </w:r>
          </w:p>
          <w:p w14:paraId="10C16114" w14:textId="5DA34B52" w:rsidR="00AA50F3" w:rsidRPr="008B3C76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Izpildes nodrošināšanai nepieciešamie resursi un to pamatotība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A41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apildu</w:t>
            </w:r>
            <w:r w:rsidR="005263B7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resursi nav nepieciešami.</w:t>
            </w:r>
          </w:p>
        </w:tc>
      </w:tr>
      <w:tr w:rsidR="008B3C76" w:rsidRPr="008B3C76" w14:paraId="075B4513" w14:textId="77777777" w:rsidTr="000C5035">
        <w:tc>
          <w:tcPr>
            <w:tcW w:w="2269" w:type="dxa"/>
          </w:tcPr>
          <w:p w14:paraId="10BDD20F" w14:textId="77777777" w:rsidR="00AA50F3" w:rsidRPr="008B3C76" w:rsidRDefault="00AA50F3" w:rsidP="00BD3DC5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Prasību un izmaksu samērīgums </w:t>
            </w:r>
            <w:r w:rsidRPr="00886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 ieguvumiem, ko sniedz mērķa sasniegšana </w:t>
            </w:r>
          </w:p>
        </w:tc>
        <w:tc>
          <w:tcPr>
            <w:tcW w:w="7371" w:type="dxa"/>
          </w:tcPr>
          <w:p w14:paraId="20758C90" w14:textId="31D6365B" w:rsidR="004F622B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6C9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Vai saistošie noteikumi ir piemēroti iecerētā mērķa sasniegšanas nodrošināšanai un paredz tikai to, kas ir vajadzīgs minētā mērķa sasniegšanai</w:t>
            </w:r>
            <w:r w:rsidR="00D52DD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 </w:t>
            </w:r>
            <w:r w:rsid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Ņ</w:t>
            </w:r>
            <w:r w:rsidR="00D52DD0" w:rsidRPr="00E5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emot vērā, ka pašvaldības autonomā funkcija ir </w:t>
            </w:r>
            <w:r w:rsidR="00D52DD0" w:rsidRP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gādāt par interešu izglītības un pieaugušo izglītības pieejamību</w:t>
            </w:r>
            <w:r w:rsidR="00D52DD0" w:rsidRPr="00E5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šie saistošie noteikumi ir piemēroti iecerētā mē</w:t>
            </w:r>
            <w:r w:rsidR="00D5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rķa sasniegšanas nodrošināšanai</w:t>
            </w:r>
            <w:r w:rsidR="00D52DD0" w:rsidRPr="00E5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9F20CA6" w14:textId="3EF4DD48" w:rsidR="00BD3DC5" w:rsidRPr="00E56C9C" w:rsidRDefault="00BD3DC5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Samērīguma teksts:</w:t>
            </w:r>
          </w:p>
          <w:p w14:paraId="589E3206" w14:textId="288226D9" w:rsidR="004F622B" w:rsidRPr="00E56C9C" w:rsidRDefault="004F622B" w:rsidP="00BD3DC5">
            <w:pPr>
              <w:pStyle w:val="ListParagraph"/>
              <w:numPr>
                <w:ilvl w:val="2"/>
                <w:numId w:val="2"/>
              </w:numPr>
              <w:ind w:hanging="6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C9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vai pašvaldības izraudzītie līdzekļi ir piemēroti leģitīmā mērķa sasniegšanai</w:t>
            </w:r>
            <w:r w:rsidRPr="00E5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021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E5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 piemēroti;</w:t>
            </w:r>
          </w:p>
          <w:p w14:paraId="47F1F57C" w14:textId="4B72D548" w:rsidR="004F622B" w:rsidRPr="00E56C9C" w:rsidRDefault="004F622B" w:rsidP="00BD3DC5">
            <w:pPr>
              <w:pStyle w:val="ListParagraph"/>
              <w:numPr>
                <w:ilvl w:val="2"/>
                <w:numId w:val="2"/>
              </w:numPr>
              <w:ind w:hanging="6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C9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vai nav saudzējošāku līdzekļu leģitīmā mērķa sasniegšanai</w:t>
            </w:r>
            <w:r w:rsidRPr="00E5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A41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E5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īdzekļi ir atbilstoši mērķa sasniegšanai;</w:t>
            </w:r>
          </w:p>
          <w:p w14:paraId="28635FB4" w14:textId="283673B0" w:rsidR="00A374E0" w:rsidRPr="00021FD7" w:rsidRDefault="004F622B" w:rsidP="00021FD7">
            <w:pPr>
              <w:pStyle w:val="ListParagraph"/>
              <w:numPr>
                <w:ilvl w:val="2"/>
                <w:numId w:val="2"/>
              </w:numPr>
              <w:ind w:hanging="6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C9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vai pašvaldības rīcība ir atbilstoša</w:t>
            </w:r>
            <w:r w:rsidRPr="00E5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ir atbilstoša.</w:t>
            </w:r>
          </w:p>
        </w:tc>
      </w:tr>
      <w:tr w:rsidR="008B3C76" w:rsidRPr="008B3C76" w14:paraId="73A737D3" w14:textId="77777777" w:rsidTr="000C5035">
        <w:tc>
          <w:tcPr>
            <w:tcW w:w="2269" w:type="dxa"/>
          </w:tcPr>
          <w:p w14:paraId="5375A4B8" w14:textId="77777777" w:rsidR="00AA50F3" w:rsidRPr="008B3C76" w:rsidRDefault="00AA50F3" w:rsidP="00BD3DC5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C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Izstrādes gaitā veiktās konsultācijas ar privātpersonām un institūcijām </w:t>
            </w:r>
          </w:p>
        </w:tc>
        <w:tc>
          <w:tcPr>
            <w:tcW w:w="7371" w:type="dxa"/>
          </w:tcPr>
          <w:p w14:paraId="633D173C" w14:textId="509D49E5" w:rsidR="004F622B" w:rsidRPr="008B3C76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Sabiedrības pārstāvji (tostarp biedrības, nodibinājumi, apvienības u.tml.), ar kuriem notikušas konsultācijas saistošo noteikumu izstrādes procesā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="00BE5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41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BE5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 notikušas.</w:t>
            </w:r>
          </w:p>
          <w:p w14:paraId="39B14452" w14:textId="53BFEA4C" w:rsidR="00BF2099" w:rsidRPr="0080248D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Izmantotais sabiedrības līdzdalības veids (lai atspoguļotu, kā pašvaldības ir centusies sasniegt mērķgrupu, kā arī noskaidrot pēc iespējas plašākas sabiedrības viedokli)</w:t>
            </w:r>
            <w:r w:rsidR="00BF2099"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A41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aistošo noteikumu projekts sabiedrības viedokļa noskaidrošanai tika publicēts pašvaldības tīmekļa </w:t>
            </w:r>
            <w:r w:rsidRPr="00802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vietnē internetā </w:t>
            </w:r>
            <w:r w:rsidR="004953C5" w:rsidRPr="00802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www.kuldigasnovads.lv</w:t>
            </w:r>
            <w:r w:rsidRPr="00802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divas nedēļas no </w:t>
            </w:r>
            <w:r w:rsidR="00021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  <w:r w:rsidRPr="00725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725A52" w:rsidRPr="00725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725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.2023.</w:t>
            </w:r>
          </w:p>
          <w:p w14:paraId="6096CA5D" w14:textId="76DDAF0E" w:rsidR="004F622B" w:rsidRPr="008B3C76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Sabiedrības pārstāvju izteiktie priekšlikumi un iebildumi, norādot, kuri no tiem ņemti vērā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021FD7" w:rsidRPr="00021FD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...</w:t>
            </w:r>
          </w:p>
          <w:p w14:paraId="13DE440E" w14:textId="77777777" w:rsidR="004F622B" w:rsidRPr="008B3C76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Par saistošo noteikumu projektu saņemtie viedokļi pēc saistošo noteikumu projekta publicēšanas sabiedrības viedokļa noskaidrošanai, to apkopojums un izvērtējums (iesniedzēji, vērā ņemtie viedokļi, vērā neņemtie viedokļi, pamatojums)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E5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 saņemti.</w:t>
            </w:r>
          </w:p>
          <w:p w14:paraId="50E580A3" w14:textId="73E1DBF6" w:rsidR="004F622B" w:rsidRPr="008B3C76" w:rsidRDefault="004F622B" w:rsidP="00BD3DC5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No institūcijām saņemtie viedokļi un atzinumi, to apkopojums un izvērtējums (vērā ņemtie viedokļi, vērā neņemtie viedokļi, pamatojums) – gan tādi, kas saņemti, pamatojoties uz normatīvajos aktos noteiktu pienākumu, gan lūgti pēc pašvaldības iniciatīvas, gan sniegti pēc institūcijas iniciatīvas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021FD7" w:rsidRPr="00021FD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..</w:t>
            </w:r>
            <w:r w:rsidR="00BE52B8" w:rsidRPr="00021FD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  <w:p w14:paraId="0F84C5DC" w14:textId="03B8A74A" w:rsidR="00AA50F3" w:rsidRPr="008B3C76" w:rsidRDefault="004F622B" w:rsidP="00021FD7">
            <w:pPr>
              <w:pStyle w:val="ListParagraph"/>
              <w:numPr>
                <w:ilvl w:val="1"/>
                <w:numId w:val="2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Informācija par cita veida saziņu un konsultācijām, ja tādas bijušas</w:t>
            </w:r>
            <w:r w:rsidR="00BE5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B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021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BE5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 notikusi.</w:t>
            </w:r>
          </w:p>
        </w:tc>
      </w:tr>
    </w:tbl>
    <w:p w14:paraId="71158E9D" w14:textId="77777777" w:rsidR="00594E50" w:rsidRPr="008B3C76" w:rsidRDefault="00594E50" w:rsidP="00BF20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4E50" w:rsidRPr="008B3C76" w:rsidSect="009F7690">
      <w:pgSz w:w="11906" w:h="16838"/>
      <w:pgMar w:top="1134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1ACA"/>
    <w:multiLevelType w:val="multilevel"/>
    <w:tmpl w:val="7EB2F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90CD8"/>
    <w:multiLevelType w:val="multilevel"/>
    <w:tmpl w:val="F718D6A4"/>
    <w:lvl w:ilvl="0">
      <w:start w:val="1"/>
      <w:numFmt w:val="decimal"/>
      <w:lvlText w:val="%1."/>
      <w:lvlJc w:val="left"/>
      <w:pPr>
        <w:ind w:left="792" w:hanging="432"/>
      </w:pPr>
      <w:rPr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77A3B02"/>
    <w:multiLevelType w:val="hybridMultilevel"/>
    <w:tmpl w:val="5E487DD8"/>
    <w:lvl w:ilvl="0" w:tplc="2CB8F02C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5" w:hanging="360"/>
      </w:pPr>
    </w:lvl>
    <w:lvl w:ilvl="2" w:tplc="0426001B" w:tentative="1">
      <w:start w:val="1"/>
      <w:numFmt w:val="lowerRoman"/>
      <w:lvlText w:val="%3."/>
      <w:lvlJc w:val="right"/>
      <w:pPr>
        <w:ind w:left="2255" w:hanging="180"/>
      </w:pPr>
    </w:lvl>
    <w:lvl w:ilvl="3" w:tplc="0426000F" w:tentative="1">
      <w:start w:val="1"/>
      <w:numFmt w:val="decimal"/>
      <w:lvlText w:val="%4."/>
      <w:lvlJc w:val="left"/>
      <w:pPr>
        <w:ind w:left="2975" w:hanging="360"/>
      </w:pPr>
    </w:lvl>
    <w:lvl w:ilvl="4" w:tplc="04260019" w:tentative="1">
      <w:start w:val="1"/>
      <w:numFmt w:val="lowerLetter"/>
      <w:lvlText w:val="%5."/>
      <w:lvlJc w:val="left"/>
      <w:pPr>
        <w:ind w:left="3695" w:hanging="360"/>
      </w:pPr>
    </w:lvl>
    <w:lvl w:ilvl="5" w:tplc="0426001B" w:tentative="1">
      <w:start w:val="1"/>
      <w:numFmt w:val="lowerRoman"/>
      <w:lvlText w:val="%6."/>
      <w:lvlJc w:val="right"/>
      <w:pPr>
        <w:ind w:left="4415" w:hanging="180"/>
      </w:pPr>
    </w:lvl>
    <w:lvl w:ilvl="6" w:tplc="0426000F" w:tentative="1">
      <w:start w:val="1"/>
      <w:numFmt w:val="decimal"/>
      <w:lvlText w:val="%7."/>
      <w:lvlJc w:val="left"/>
      <w:pPr>
        <w:ind w:left="5135" w:hanging="360"/>
      </w:pPr>
    </w:lvl>
    <w:lvl w:ilvl="7" w:tplc="04260019" w:tentative="1">
      <w:start w:val="1"/>
      <w:numFmt w:val="lowerLetter"/>
      <w:lvlText w:val="%8."/>
      <w:lvlJc w:val="left"/>
      <w:pPr>
        <w:ind w:left="5855" w:hanging="360"/>
      </w:pPr>
    </w:lvl>
    <w:lvl w:ilvl="8" w:tplc="042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2A216A6A"/>
    <w:multiLevelType w:val="hybridMultilevel"/>
    <w:tmpl w:val="6FBAC948"/>
    <w:lvl w:ilvl="0" w:tplc="0426000F">
      <w:start w:val="17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6F12"/>
    <w:multiLevelType w:val="multilevel"/>
    <w:tmpl w:val="7EB2F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6B1EDC"/>
    <w:multiLevelType w:val="multilevel"/>
    <w:tmpl w:val="7EB2F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3261B3"/>
    <w:multiLevelType w:val="hybridMultilevel"/>
    <w:tmpl w:val="EAF8AC34"/>
    <w:lvl w:ilvl="0" w:tplc="C9542192">
      <w:start w:val="1"/>
      <w:numFmt w:val="decimal"/>
      <w:lvlText w:val="%1)"/>
      <w:lvlJc w:val="left"/>
      <w:pPr>
        <w:ind w:left="90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23" w:hanging="360"/>
      </w:pPr>
    </w:lvl>
    <w:lvl w:ilvl="2" w:tplc="0426001B" w:tentative="1">
      <w:start w:val="1"/>
      <w:numFmt w:val="lowerRoman"/>
      <w:lvlText w:val="%3."/>
      <w:lvlJc w:val="right"/>
      <w:pPr>
        <w:ind w:left="2343" w:hanging="180"/>
      </w:pPr>
    </w:lvl>
    <w:lvl w:ilvl="3" w:tplc="0426000F" w:tentative="1">
      <w:start w:val="1"/>
      <w:numFmt w:val="decimal"/>
      <w:lvlText w:val="%4."/>
      <w:lvlJc w:val="left"/>
      <w:pPr>
        <w:ind w:left="3063" w:hanging="360"/>
      </w:pPr>
    </w:lvl>
    <w:lvl w:ilvl="4" w:tplc="04260019" w:tentative="1">
      <w:start w:val="1"/>
      <w:numFmt w:val="lowerLetter"/>
      <w:lvlText w:val="%5."/>
      <w:lvlJc w:val="left"/>
      <w:pPr>
        <w:ind w:left="3783" w:hanging="360"/>
      </w:pPr>
    </w:lvl>
    <w:lvl w:ilvl="5" w:tplc="0426001B" w:tentative="1">
      <w:start w:val="1"/>
      <w:numFmt w:val="lowerRoman"/>
      <w:lvlText w:val="%6."/>
      <w:lvlJc w:val="right"/>
      <w:pPr>
        <w:ind w:left="4503" w:hanging="180"/>
      </w:pPr>
    </w:lvl>
    <w:lvl w:ilvl="6" w:tplc="0426000F" w:tentative="1">
      <w:start w:val="1"/>
      <w:numFmt w:val="decimal"/>
      <w:lvlText w:val="%7."/>
      <w:lvlJc w:val="left"/>
      <w:pPr>
        <w:ind w:left="5223" w:hanging="360"/>
      </w:pPr>
    </w:lvl>
    <w:lvl w:ilvl="7" w:tplc="04260019" w:tentative="1">
      <w:start w:val="1"/>
      <w:numFmt w:val="lowerLetter"/>
      <w:lvlText w:val="%8."/>
      <w:lvlJc w:val="left"/>
      <w:pPr>
        <w:ind w:left="5943" w:hanging="360"/>
      </w:pPr>
    </w:lvl>
    <w:lvl w:ilvl="8" w:tplc="0426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43E15EEF"/>
    <w:multiLevelType w:val="multilevel"/>
    <w:tmpl w:val="7EB2F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4D2B7F"/>
    <w:multiLevelType w:val="hybridMultilevel"/>
    <w:tmpl w:val="8B5E2076"/>
    <w:lvl w:ilvl="0" w:tplc="F02EC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5C1"/>
    <w:multiLevelType w:val="hybridMultilevel"/>
    <w:tmpl w:val="2B70C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27F50"/>
    <w:multiLevelType w:val="multilevel"/>
    <w:tmpl w:val="02C6E7C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6F68378A"/>
    <w:multiLevelType w:val="hybridMultilevel"/>
    <w:tmpl w:val="BEAC5070"/>
    <w:lvl w:ilvl="0" w:tplc="CA0E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5E69"/>
    <w:multiLevelType w:val="multilevel"/>
    <w:tmpl w:val="7EB2F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98273997">
    <w:abstractNumId w:val="10"/>
  </w:num>
  <w:num w:numId="2" w16cid:durableId="90593739">
    <w:abstractNumId w:val="6"/>
  </w:num>
  <w:num w:numId="3" w16cid:durableId="1634217353">
    <w:abstractNumId w:val="9"/>
  </w:num>
  <w:num w:numId="4" w16cid:durableId="1563521212">
    <w:abstractNumId w:val="12"/>
  </w:num>
  <w:num w:numId="5" w16cid:durableId="1823305633">
    <w:abstractNumId w:val="11"/>
  </w:num>
  <w:num w:numId="6" w16cid:durableId="590621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2092705">
    <w:abstractNumId w:val="1"/>
  </w:num>
  <w:num w:numId="8" w16cid:durableId="2101173686">
    <w:abstractNumId w:val="7"/>
  </w:num>
  <w:num w:numId="9" w16cid:durableId="1954824809">
    <w:abstractNumId w:val="3"/>
  </w:num>
  <w:num w:numId="10" w16cid:durableId="1107579318">
    <w:abstractNumId w:val="4"/>
  </w:num>
  <w:num w:numId="11" w16cid:durableId="1042091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9979166">
    <w:abstractNumId w:val="8"/>
  </w:num>
  <w:num w:numId="13" w16cid:durableId="805390086">
    <w:abstractNumId w:val="13"/>
  </w:num>
  <w:num w:numId="14" w16cid:durableId="1898586346">
    <w:abstractNumId w:val="0"/>
  </w:num>
  <w:num w:numId="15" w16cid:durableId="1573664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8"/>
    <w:rsid w:val="00003CB3"/>
    <w:rsid w:val="00021FD7"/>
    <w:rsid w:val="00031A58"/>
    <w:rsid w:val="00087A31"/>
    <w:rsid w:val="000A5019"/>
    <w:rsid w:val="000A5B05"/>
    <w:rsid w:val="000B42CF"/>
    <w:rsid w:val="000C5035"/>
    <w:rsid w:val="000F0912"/>
    <w:rsid w:val="00103681"/>
    <w:rsid w:val="00105A86"/>
    <w:rsid w:val="00115D36"/>
    <w:rsid w:val="00131499"/>
    <w:rsid w:val="00132668"/>
    <w:rsid w:val="00164911"/>
    <w:rsid w:val="00172257"/>
    <w:rsid w:val="00181DDF"/>
    <w:rsid w:val="00186C7A"/>
    <w:rsid w:val="001C4DC8"/>
    <w:rsid w:val="001F397E"/>
    <w:rsid w:val="0022467E"/>
    <w:rsid w:val="00263AAB"/>
    <w:rsid w:val="002709A6"/>
    <w:rsid w:val="002A0B90"/>
    <w:rsid w:val="002A1F01"/>
    <w:rsid w:val="002A3BCC"/>
    <w:rsid w:val="002A53C7"/>
    <w:rsid w:val="002B05E6"/>
    <w:rsid w:val="002D3FA4"/>
    <w:rsid w:val="002D63C3"/>
    <w:rsid w:val="002E4D5D"/>
    <w:rsid w:val="002F60D4"/>
    <w:rsid w:val="002F7136"/>
    <w:rsid w:val="00314729"/>
    <w:rsid w:val="0034321C"/>
    <w:rsid w:val="00352F5D"/>
    <w:rsid w:val="00374B7A"/>
    <w:rsid w:val="0038237B"/>
    <w:rsid w:val="0038654D"/>
    <w:rsid w:val="003907BD"/>
    <w:rsid w:val="0039174C"/>
    <w:rsid w:val="003958A3"/>
    <w:rsid w:val="0039662C"/>
    <w:rsid w:val="00396CB5"/>
    <w:rsid w:val="003A51CE"/>
    <w:rsid w:val="003C4721"/>
    <w:rsid w:val="003D55DF"/>
    <w:rsid w:val="004424DD"/>
    <w:rsid w:val="00444F40"/>
    <w:rsid w:val="004628EC"/>
    <w:rsid w:val="0046704C"/>
    <w:rsid w:val="004674F5"/>
    <w:rsid w:val="00480B58"/>
    <w:rsid w:val="004953C5"/>
    <w:rsid w:val="004C0647"/>
    <w:rsid w:val="004D598D"/>
    <w:rsid w:val="004D5E82"/>
    <w:rsid w:val="004E6AB0"/>
    <w:rsid w:val="004F622B"/>
    <w:rsid w:val="00514597"/>
    <w:rsid w:val="005263B7"/>
    <w:rsid w:val="00541933"/>
    <w:rsid w:val="005551CF"/>
    <w:rsid w:val="00594E50"/>
    <w:rsid w:val="005A75BD"/>
    <w:rsid w:val="005C1295"/>
    <w:rsid w:val="005E49E6"/>
    <w:rsid w:val="005E798F"/>
    <w:rsid w:val="005F118B"/>
    <w:rsid w:val="00615C71"/>
    <w:rsid w:val="006C3CD0"/>
    <w:rsid w:val="006E744E"/>
    <w:rsid w:val="006F5498"/>
    <w:rsid w:val="007068E9"/>
    <w:rsid w:val="00714489"/>
    <w:rsid w:val="00725A52"/>
    <w:rsid w:val="00740B2A"/>
    <w:rsid w:val="00744B8D"/>
    <w:rsid w:val="0075245B"/>
    <w:rsid w:val="007828E9"/>
    <w:rsid w:val="00793BF3"/>
    <w:rsid w:val="007A58E5"/>
    <w:rsid w:val="007C2A47"/>
    <w:rsid w:val="007C50D7"/>
    <w:rsid w:val="007D0FF7"/>
    <w:rsid w:val="007F3E19"/>
    <w:rsid w:val="0080248D"/>
    <w:rsid w:val="00886741"/>
    <w:rsid w:val="00897E76"/>
    <w:rsid w:val="008B3C76"/>
    <w:rsid w:val="008E5099"/>
    <w:rsid w:val="0091671A"/>
    <w:rsid w:val="0094528E"/>
    <w:rsid w:val="0096355E"/>
    <w:rsid w:val="00974832"/>
    <w:rsid w:val="00974948"/>
    <w:rsid w:val="009B6E77"/>
    <w:rsid w:val="009C74EE"/>
    <w:rsid w:val="009F7690"/>
    <w:rsid w:val="00A11670"/>
    <w:rsid w:val="00A374E0"/>
    <w:rsid w:val="00A41D30"/>
    <w:rsid w:val="00A43550"/>
    <w:rsid w:val="00A502D8"/>
    <w:rsid w:val="00A550CC"/>
    <w:rsid w:val="00A56E22"/>
    <w:rsid w:val="00A776B2"/>
    <w:rsid w:val="00A9528A"/>
    <w:rsid w:val="00AA50F3"/>
    <w:rsid w:val="00AA5E34"/>
    <w:rsid w:val="00AF0354"/>
    <w:rsid w:val="00B1647A"/>
    <w:rsid w:val="00B171CB"/>
    <w:rsid w:val="00B30753"/>
    <w:rsid w:val="00B66BAA"/>
    <w:rsid w:val="00B7573F"/>
    <w:rsid w:val="00BA1A57"/>
    <w:rsid w:val="00BA7043"/>
    <w:rsid w:val="00BB1BCD"/>
    <w:rsid w:val="00BB37B5"/>
    <w:rsid w:val="00BD1428"/>
    <w:rsid w:val="00BD3DC5"/>
    <w:rsid w:val="00BD5A03"/>
    <w:rsid w:val="00BE18B7"/>
    <w:rsid w:val="00BE52B8"/>
    <w:rsid w:val="00BF2099"/>
    <w:rsid w:val="00C5210D"/>
    <w:rsid w:val="00C617EF"/>
    <w:rsid w:val="00C76192"/>
    <w:rsid w:val="00CA01F3"/>
    <w:rsid w:val="00CA5629"/>
    <w:rsid w:val="00CB4DB4"/>
    <w:rsid w:val="00CC5659"/>
    <w:rsid w:val="00CD5510"/>
    <w:rsid w:val="00CE273D"/>
    <w:rsid w:val="00CE547C"/>
    <w:rsid w:val="00CE7335"/>
    <w:rsid w:val="00D23877"/>
    <w:rsid w:val="00D51C77"/>
    <w:rsid w:val="00D52DD0"/>
    <w:rsid w:val="00D6030F"/>
    <w:rsid w:val="00D64CE6"/>
    <w:rsid w:val="00D90BE0"/>
    <w:rsid w:val="00DC025E"/>
    <w:rsid w:val="00DF2743"/>
    <w:rsid w:val="00E235D7"/>
    <w:rsid w:val="00E56C9C"/>
    <w:rsid w:val="00E72DAB"/>
    <w:rsid w:val="00EB756E"/>
    <w:rsid w:val="00EE2ED0"/>
    <w:rsid w:val="00F005FB"/>
    <w:rsid w:val="00F073B5"/>
    <w:rsid w:val="00F35FB7"/>
    <w:rsid w:val="00F65DDA"/>
    <w:rsid w:val="00F8616E"/>
    <w:rsid w:val="00FB24A8"/>
    <w:rsid w:val="00FC20C5"/>
    <w:rsid w:val="00FC42CF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A038"/>
  <w15:docId w15:val="{B1EF41DC-0FFE-4B53-BB38-C6FD45B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7690"/>
    <w:rPr>
      <w:b/>
      <w:bCs/>
    </w:rPr>
  </w:style>
  <w:style w:type="paragraph" w:styleId="ListParagraph">
    <w:name w:val="List Paragraph"/>
    <w:basedOn w:val="Normal"/>
    <w:uiPriority w:val="34"/>
    <w:qFormat/>
    <w:rsid w:val="009F7690"/>
    <w:pPr>
      <w:ind w:left="720"/>
      <w:contextualSpacing/>
    </w:pPr>
  </w:style>
  <w:style w:type="paragraph" w:customStyle="1" w:styleId="tv213">
    <w:name w:val="tv213"/>
    <w:basedOn w:val="Normal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D1428"/>
    <w:rPr>
      <w:i/>
      <w:iCs/>
    </w:rPr>
  </w:style>
  <w:style w:type="paragraph" w:styleId="NormalWeb">
    <w:name w:val="Normal (Web)"/>
    <w:basedOn w:val="Normal"/>
    <w:uiPriority w:val="99"/>
    <w:unhideWhenUsed/>
    <w:rsid w:val="00AF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F2099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7A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2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5866</Words>
  <Characters>3345</Characters>
  <Application>Microsoft Office Word</Application>
  <DocSecurity>4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</dc:creator>
  <cp:lastModifiedBy>Roberta Balode</cp:lastModifiedBy>
  <cp:revision>2</cp:revision>
  <cp:lastPrinted>2023-07-11T08:51:00Z</cp:lastPrinted>
  <dcterms:created xsi:type="dcterms:W3CDTF">2023-09-14T08:37:00Z</dcterms:created>
  <dcterms:modified xsi:type="dcterms:W3CDTF">2023-09-14T08:37:00Z</dcterms:modified>
</cp:coreProperties>
</file>